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413F" w14:textId="541724FE" w:rsidR="00A3516B" w:rsidRPr="00741963" w:rsidRDefault="382D846F" w:rsidP="00252B27">
      <w:pPr>
        <w:pStyle w:val="EDSNKop"/>
        <w:outlineLvl w:val="0"/>
        <w:rPr>
          <w:lang w:val="en-US"/>
        </w:rPr>
      </w:pPr>
      <w:proofErr w:type="spellStart"/>
      <w:r w:rsidRPr="382D846F">
        <w:rPr>
          <w:lang w:val="en-US"/>
        </w:rPr>
        <w:t>Allocatie</w:t>
      </w:r>
      <w:proofErr w:type="spellEnd"/>
      <w:r w:rsidRPr="382D846F">
        <w:rPr>
          <w:lang w:val="en-US"/>
        </w:rPr>
        <w:t xml:space="preserve"> 2.0 Tranche 2: RFC</w:t>
      </w:r>
      <w:r w:rsidR="00252B27">
        <w:rPr>
          <w:lang w:val="en-US"/>
        </w:rPr>
        <w:t xml:space="preserve"> </w:t>
      </w:r>
      <w:r w:rsidRPr="382D846F">
        <w:rPr>
          <w:lang w:val="en-US"/>
        </w:rPr>
        <w:t xml:space="preserve">273.3 </w:t>
      </w:r>
      <w:proofErr w:type="spellStart"/>
      <w:r w:rsidRPr="382D846F">
        <w:rPr>
          <w:lang w:val="en-US"/>
        </w:rPr>
        <w:t>Verlengen</w:t>
      </w:r>
      <w:proofErr w:type="spellEnd"/>
      <w:r w:rsidRPr="382D846F">
        <w:rPr>
          <w:lang w:val="en-US"/>
        </w:rPr>
        <w:t xml:space="preserve"> </w:t>
      </w:r>
      <w:proofErr w:type="spellStart"/>
      <w:r w:rsidRPr="382D846F">
        <w:rPr>
          <w:lang w:val="en-US"/>
        </w:rPr>
        <w:t>Simulatieperiode</w:t>
      </w:r>
      <w:proofErr w:type="spellEnd"/>
    </w:p>
    <w:p w14:paraId="3FEEF224" w14:textId="51472C08" w:rsidR="00A3516B" w:rsidRPr="001E2438" w:rsidRDefault="00A3516B" w:rsidP="000050AB">
      <w:pPr>
        <w:pStyle w:val="EDSNKop"/>
        <w:outlineLvl w:val="0"/>
        <w:rPr>
          <w:sz w:val="36"/>
          <w:szCs w:val="36"/>
          <w:lang w:val="en-GB"/>
        </w:rPr>
      </w:pPr>
      <w:r w:rsidRPr="001E2438">
        <w:rPr>
          <w:sz w:val="36"/>
          <w:szCs w:val="36"/>
          <w:lang w:val="en-GB"/>
        </w:rPr>
        <w:t>Request For Change</w:t>
      </w:r>
      <w:r w:rsidR="0002221A">
        <w:rPr>
          <w:sz w:val="36"/>
          <w:szCs w:val="36"/>
          <w:lang w:val="en-GB"/>
        </w:rPr>
        <w:t xml:space="preserve"> v</w:t>
      </w:r>
      <w:r w:rsidR="006764B3">
        <w:rPr>
          <w:sz w:val="36"/>
          <w:szCs w:val="36"/>
          <w:lang w:val="en-GB"/>
        </w:rPr>
        <w:t>1</w:t>
      </w:r>
      <w:r w:rsidR="0002221A">
        <w:rPr>
          <w:sz w:val="36"/>
          <w:szCs w:val="36"/>
          <w:lang w:val="en-GB"/>
        </w:rPr>
        <w:t>.</w:t>
      </w:r>
      <w:r w:rsidR="006764B3">
        <w:rPr>
          <w:sz w:val="36"/>
          <w:szCs w:val="36"/>
          <w:lang w:val="en-GB"/>
        </w:rPr>
        <w:t>0</w:t>
      </w:r>
    </w:p>
    <w:p w14:paraId="4CCC2A44" w14:textId="77777777" w:rsidR="00A3516B" w:rsidRPr="001E2438" w:rsidRDefault="00A3516B" w:rsidP="000050AB">
      <w:pPr>
        <w:tabs>
          <w:tab w:val="right" w:pos="9072"/>
        </w:tabs>
        <w:rPr>
          <w:szCs w:val="18"/>
          <w:lang w:val="en-GB"/>
        </w:rPr>
      </w:pPr>
    </w:p>
    <w:p w14:paraId="4F7E4EB7" w14:textId="77777777" w:rsidR="00A3516B" w:rsidRDefault="00A3516B" w:rsidP="000050AB">
      <w:pPr>
        <w:outlineLvl w:val="0"/>
        <w:rPr>
          <w:szCs w:val="18"/>
        </w:rPr>
      </w:pPr>
      <w:r>
        <w:rPr>
          <w:szCs w:val="18"/>
        </w:rPr>
        <w:t>Invulling door indiener: Jorik van Vilsteren</w:t>
      </w:r>
    </w:p>
    <w:p w14:paraId="3B9E9E6B" w14:textId="77777777" w:rsidR="00A3516B" w:rsidRDefault="00A3516B" w:rsidP="000050AB">
      <w:pPr>
        <w:rPr>
          <w:szCs w:val="18"/>
        </w:rPr>
      </w:pPr>
    </w:p>
    <w:p w14:paraId="4F3043D7" w14:textId="77777777" w:rsidR="00A3516B" w:rsidRDefault="00A3516B" w:rsidP="000050AB">
      <w:pPr>
        <w:outlineLvl w:val="0"/>
        <w:rPr>
          <w:i/>
          <w:szCs w:val="18"/>
        </w:rPr>
      </w:pPr>
      <w:r>
        <w:rPr>
          <w:i/>
          <w:szCs w:val="18"/>
        </w:rPr>
        <w:t>Contact gegevens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2708"/>
        <w:gridCol w:w="1828"/>
        <w:gridCol w:w="3260"/>
      </w:tblGrid>
      <w:tr w:rsidR="00A3516B" w14:paraId="06EA3661" w14:textId="77777777" w:rsidTr="382D846F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09A76833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Referentienummer</w:t>
            </w:r>
          </w:p>
          <w:p w14:paraId="76551EE0" w14:textId="77777777" w:rsidR="00A3516B" w:rsidRDefault="00A3516B" w:rsidP="000050AB">
            <w:pPr>
              <w:rPr>
                <w:b/>
                <w:szCs w:val="18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E79FA" w14:textId="7547D753" w:rsidR="00A3516B" w:rsidRDefault="382D846F" w:rsidP="000050AB">
            <w:pPr>
              <w:snapToGrid w:val="0"/>
              <w:ind w:right="-675"/>
            </w:pPr>
            <w:r>
              <w:t>RFC 273.3</w:t>
            </w:r>
          </w:p>
        </w:tc>
      </w:tr>
      <w:tr w:rsidR="00A3516B" w14:paraId="7991063D" w14:textId="77777777" w:rsidTr="382D846F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6234D072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Naam (werkgroep)</w:t>
            </w:r>
          </w:p>
          <w:p w14:paraId="1F2DA1DF" w14:textId="77777777" w:rsidR="00A3516B" w:rsidRDefault="00A3516B" w:rsidP="000050AB">
            <w:pPr>
              <w:rPr>
                <w:b/>
                <w:szCs w:val="18"/>
              </w:rPr>
            </w:pP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4A7B68A" w14:textId="77777777" w:rsidR="00A3516B" w:rsidRDefault="00A3516B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Kernteam Simulatie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21128D66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Versienummer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73D8C" w14:textId="545E5746" w:rsidR="00A3516B" w:rsidRDefault="006764B3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1.0</w:t>
            </w:r>
          </w:p>
        </w:tc>
      </w:tr>
      <w:tr w:rsidR="00A3516B" w14:paraId="1A5CB035" w14:textId="77777777" w:rsidTr="382D846F">
        <w:trPr>
          <w:trHeight w:val="219"/>
        </w:trPr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4BA93EF5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E-mail </w:t>
            </w:r>
          </w:p>
          <w:p w14:paraId="36E10CF4" w14:textId="77777777" w:rsidR="00A3516B" w:rsidRDefault="00A3516B" w:rsidP="000050AB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2BABF35" w14:textId="77777777" w:rsidR="00A3516B" w:rsidRDefault="00A3516B" w:rsidP="000050AB">
            <w:pPr>
              <w:snapToGrid w:val="0"/>
              <w:rPr>
                <w:szCs w:val="18"/>
              </w:rPr>
            </w:pPr>
            <w:r>
              <w:t>Jorik.vanvilsteren@mffbas.nl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B8CCE4" w:themeFill="accent1" w:themeFillTint="66"/>
          </w:tcPr>
          <w:p w14:paraId="01465AE7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A1322" w14:textId="1AFAA1B0" w:rsidR="00A3516B" w:rsidRDefault="00C440C8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22</w:t>
            </w:r>
            <w:r w:rsidR="002A6B32">
              <w:rPr>
                <w:szCs w:val="18"/>
              </w:rPr>
              <w:t>-09-2022</w:t>
            </w:r>
          </w:p>
        </w:tc>
      </w:tr>
    </w:tbl>
    <w:p w14:paraId="70E0B0B6" w14:textId="77777777" w:rsidR="00A3516B" w:rsidRDefault="00A3516B" w:rsidP="000050AB"/>
    <w:p w14:paraId="76E8244C" w14:textId="77777777" w:rsidR="00A3516B" w:rsidRDefault="00A3516B" w:rsidP="000050AB">
      <w:pPr>
        <w:outlineLvl w:val="0"/>
        <w:rPr>
          <w:i/>
          <w:szCs w:val="18"/>
        </w:rPr>
      </w:pPr>
      <w:r>
        <w:rPr>
          <w:i/>
          <w:szCs w:val="18"/>
        </w:rPr>
        <w:t>Details (in te vullen door aanvrager RFC)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A3516B" w14:paraId="3E223398" w14:textId="77777777" w:rsidTr="000050AB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568AD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Onderwerp</w:t>
            </w:r>
          </w:p>
          <w:p w14:paraId="2A4D926F" w14:textId="77777777" w:rsidR="00A3516B" w:rsidRDefault="00A3516B" w:rsidP="000050AB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78124" w14:textId="20635D83" w:rsidR="00A3516B" w:rsidRDefault="00036D61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Verlengen Simulatieperiode</w:t>
            </w:r>
          </w:p>
        </w:tc>
      </w:tr>
      <w:tr w:rsidR="00A3516B" w14:paraId="344830B0" w14:textId="77777777" w:rsidTr="000050AB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1222F40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Type</w:t>
            </w:r>
          </w:p>
          <w:p w14:paraId="577B8CB4" w14:textId="77777777" w:rsidR="00A3516B" w:rsidRDefault="00A3516B" w:rsidP="000050AB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C928" w14:textId="77777777" w:rsidR="00A3516B" w:rsidRDefault="00A3516B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[ x ] Processen</w:t>
            </w:r>
          </w:p>
          <w:p w14:paraId="401ECF5C" w14:textId="77777777" w:rsidR="00A3516B" w:rsidRDefault="00A3516B" w:rsidP="000050AB">
            <w:pPr>
              <w:rPr>
                <w:szCs w:val="18"/>
              </w:rPr>
            </w:pPr>
            <w:r>
              <w:rPr>
                <w:szCs w:val="18"/>
              </w:rPr>
              <w:t>[ x ] Functioneel + Technisch (bouw)</w:t>
            </w:r>
          </w:p>
          <w:p w14:paraId="7905CF5D" w14:textId="77777777" w:rsidR="00A3516B" w:rsidRDefault="00A3516B" w:rsidP="000050AB">
            <w:pPr>
              <w:rPr>
                <w:szCs w:val="18"/>
              </w:rPr>
            </w:pPr>
            <w:r>
              <w:rPr>
                <w:szCs w:val="18"/>
              </w:rPr>
              <w:t>[  ] Architectuur</w:t>
            </w:r>
          </w:p>
          <w:p w14:paraId="6EF125E8" w14:textId="77777777" w:rsidR="00A3516B" w:rsidRDefault="00A3516B" w:rsidP="000050AB">
            <w:pPr>
              <w:rPr>
                <w:szCs w:val="18"/>
              </w:rPr>
            </w:pPr>
            <w:r>
              <w:rPr>
                <w:szCs w:val="18"/>
              </w:rPr>
              <w:t>[  ] Procedure</w:t>
            </w:r>
          </w:p>
        </w:tc>
      </w:tr>
      <w:tr w:rsidR="00A3516B" w14:paraId="45C583F0" w14:textId="77777777" w:rsidTr="000050AB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5080B012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Betrekking op IC/Release </w:t>
            </w:r>
            <w:proofErr w:type="spellStart"/>
            <w:r>
              <w:rPr>
                <w:b/>
                <w:szCs w:val="18"/>
              </w:rPr>
              <w:t>nr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7E19" w14:textId="5C7833CE" w:rsidR="00A3516B" w:rsidRDefault="00036D61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IC273</w:t>
            </w:r>
            <w:r w:rsidR="00C25682">
              <w:rPr>
                <w:szCs w:val="18"/>
              </w:rPr>
              <w:t xml:space="preserve"> /</w:t>
            </w:r>
            <w:r w:rsidR="00A3516B">
              <w:rPr>
                <w:szCs w:val="18"/>
              </w:rPr>
              <w:t xml:space="preserve"> A2.0 Tranche 2</w:t>
            </w:r>
          </w:p>
        </w:tc>
      </w:tr>
      <w:tr w:rsidR="00A3516B" w14:paraId="132818CB" w14:textId="77777777" w:rsidTr="000050AB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5635598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Blocking</w:t>
            </w:r>
            <w:proofErr w:type="spellEnd"/>
            <w:r>
              <w:rPr>
                <w:b/>
                <w:szCs w:val="18"/>
              </w:rPr>
              <w:t xml:space="preserve"> issue sector bij niet invoeren?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8608" w14:textId="77777777" w:rsidR="00A3516B" w:rsidRDefault="00A3516B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[  ] Ja</w:t>
            </w:r>
          </w:p>
          <w:p w14:paraId="7D3DA443" w14:textId="77777777" w:rsidR="00A3516B" w:rsidRDefault="00A3516B" w:rsidP="000050AB">
            <w:pPr>
              <w:rPr>
                <w:szCs w:val="18"/>
              </w:rPr>
            </w:pPr>
            <w:r>
              <w:rPr>
                <w:szCs w:val="18"/>
              </w:rPr>
              <w:t>[ x ] Nee</w:t>
            </w:r>
          </w:p>
          <w:p w14:paraId="40D3A9DB" w14:textId="77777777" w:rsidR="00A3516B" w:rsidRDefault="00A3516B" w:rsidP="000050AB">
            <w:pPr>
              <w:snapToGrid w:val="0"/>
              <w:rPr>
                <w:szCs w:val="18"/>
              </w:rPr>
            </w:pPr>
          </w:p>
        </w:tc>
      </w:tr>
      <w:tr w:rsidR="00A3516B" w14:paraId="18C0F54D" w14:textId="77777777" w:rsidTr="000050AB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044BDC3F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Referentie/</w:t>
            </w:r>
            <w:r>
              <w:rPr>
                <w:b/>
                <w:szCs w:val="18"/>
              </w:rPr>
              <w:br/>
              <w:t>Wijzigingsverzoek-nummer</w:t>
            </w:r>
          </w:p>
          <w:p w14:paraId="6D4D0EB6" w14:textId="77777777" w:rsidR="00A3516B" w:rsidRDefault="00A3516B" w:rsidP="000050AB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544D" w14:textId="77777777" w:rsidR="00A3516B" w:rsidRDefault="00A3516B" w:rsidP="000050AB">
            <w:pPr>
              <w:snapToGrid w:val="0"/>
              <w:rPr>
                <w:szCs w:val="18"/>
              </w:rPr>
            </w:pPr>
          </w:p>
        </w:tc>
      </w:tr>
    </w:tbl>
    <w:p w14:paraId="3D8F50F5" w14:textId="77777777" w:rsidR="00A3516B" w:rsidRDefault="00A3516B" w:rsidP="000050AB"/>
    <w:p w14:paraId="3E219382" w14:textId="77777777" w:rsidR="00A3516B" w:rsidRDefault="00A3516B" w:rsidP="000050AB"/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A3516B" w14:paraId="0CA9C783" w14:textId="77777777" w:rsidTr="000050AB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2924A72A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Naam change</w:t>
            </w:r>
          </w:p>
          <w:p w14:paraId="7E2DADED" w14:textId="77777777" w:rsidR="00A3516B" w:rsidRDefault="00A3516B" w:rsidP="000050AB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5BBA" w14:textId="022CD684" w:rsidR="00A3516B" w:rsidRPr="00FE3A92" w:rsidRDefault="00A3516B" w:rsidP="000050AB">
            <w:pPr>
              <w:snapToGrid w:val="0"/>
            </w:pPr>
            <w:proofErr w:type="spellStart"/>
            <w:r w:rsidRPr="004E5DA0">
              <w:t>RFC</w:t>
            </w:r>
            <w:r>
              <w:t>xx</w:t>
            </w:r>
            <w:proofErr w:type="spellEnd"/>
            <w:r w:rsidRPr="004E5DA0">
              <w:t xml:space="preserve"> </w:t>
            </w:r>
            <w:r>
              <w:t>Verleng</w:t>
            </w:r>
            <w:r w:rsidR="00C25682">
              <w:t>e</w:t>
            </w:r>
            <w:r>
              <w:t>n Simulatieperiode</w:t>
            </w:r>
          </w:p>
        </w:tc>
      </w:tr>
      <w:tr w:rsidR="00A3516B" w14:paraId="49F8F23D" w14:textId="77777777" w:rsidTr="000050AB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6857B75E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Reden change</w:t>
            </w:r>
          </w:p>
          <w:p w14:paraId="082275A2" w14:textId="77777777" w:rsidR="00A3516B" w:rsidRDefault="00A3516B" w:rsidP="000050AB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6B38" w14:textId="77777777" w:rsidR="00A3516B" w:rsidRDefault="00A3516B" w:rsidP="000050AB">
            <w:pPr>
              <w:snapToGrid w:val="0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Aanleiding</w:t>
            </w:r>
          </w:p>
          <w:p w14:paraId="7C71FDAC" w14:textId="518AB80A" w:rsidR="00C25682" w:rsidRDefault="00C25682" w:rsidP="00A3516B">
            <w:pPr>
              <w:pStyle w:val="Lijstalinea"/>
              <w:numPr>
                <w:ilvl w:val="0"/>
                <w:numId w:val="32"/>
              </w:numPr>
              <w:snapToGrid w:val="0"/>
              <w:jc w:val="both"/>
              <w:rPr>
                <w:szCs w:val="18"/>
              </w:rPr>
            </w:pPr>
            <w:r>
              <w:rPr>
                <w:szCs w:val="18"/>
              </w:rPr>
              <w:t>De simulatieperiode voorafgaand aan A2.0 Tranche</w:t>
            </w:r>
            <w:r w:rsidR="00BC0661">
              <w:rPr>
                <w:szCs w:val="18"/>
              </w:rPr>
              <w:t xml:space="preserve">, waarin dynamische profielfracties en de RCF berekend worden, loopt </w:t>
            </w:r>
            <w:r w:rsidR="004D6B68">
              <w:rPr>
                <w:szCs w:val="18"/>
              </w:rPr>
              <w:t>volgens het PID</w:t>
            </w:r>
            <w:r w:rsidR="0001298C">
              <w:rPr>
                <w:szCs w:val="18"/>
              </w:rPr>
              <w:t xml:space="preserve"> Simulatie</w:t>
            </w:r>
            <w:r w:rsidR="004D6B68">
              <w:rPr>
                <w:szCs w:val="18"/>
              </w:rPr>
              <w:t xml:space="preserve"> </w:t>
            </w:r>
            <w:r w:rsidR="00BC0661">
              <w:rPr>
                <w:szCs w:val="18"/>
              </w:rPr>
              <w:t>van 1-1-2022 t/m 31-12-2022.</w:t>
            </w:r>
          </w:p>
          <w:p w14:paraId="4554E9E4" w14:textId="5B0029D1" w:rsidR="00BC0661" w:rsidRDefault="00BC0661" w:rsidP="00A3516B">
            <w:pPr>
              <w:pStyle w:val="Lijstalinea"/>
              <w:numPr>
                <w:ilvl w:val="0"/>
                <w:numId w:val="32"/>
              </w:numPr>
              <w:snapToGrid w:val="0"/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De geplande functionele go live van </w:t>
            </w:r>
            <w:r w:rsidR="005D6F3F">
              <w:rPr>
                <w:szCs w:val="18"/>
              </w:rPr>
              <w:t>IC273 is op 1-4-2023.</w:t>
            </w:r>
          </w:p>
          <w:p w14:paraId="10A912FF" w14:textId="5DF6BBCE" w:rsidR="00A3516B" w:rsidRDefault="00A3516B" w:rsidP="00A3516B">
            <w:pPr>
              <w:pStyle w:val="Lijstalinea"/>
              <w:numPr>
                <w:ilvl w:val="0"/>
                <w:numId w:val="32"/>
              </w:numPr>
              <w:snapToGrid w:val="0"/>
              <w:jc w:val="both"/>
              <w:rPr>
                <w:szCs w:val="18"/>
              </w:rPr>
            </w:pPr>
            <w:proofErr w:type="spellStart"/>
            <w:r>
              <w:rPr>
                <w:szCs w:val="18"/>
              </w:rPr>
              <w:lastRenderedPageBreak/>
              <w:t>BRPs</w:t>
            </w:r>
            <w:proofErr w:type="spellEnd"/>
            <w:r>
              <w:rPr>
                <w:szCs w:val="18"/>
              </w:rPr>
              <w:t xml:space="preserve"> hebben de wens uitgesproken om de simulatieperiode te verlengen tot aan livegang Allocatie 2.0 Tranche 2</w:t>
            </w:r>
            <w:r w:rsidR="005D6F3F">
              <w:rPr>
                <w:szCs w:val="18"/>
              </w:rPr>
              <w:t xml:space="preserve">, om zodoende ook </w:t>
            </w:r>
            <w:r w:rsidR="0001298C">
              <w:rPr>
                <w:szCs w:val="18"/>
              </w:rPr>
              <w:t>m.b.t.</w:t>
            </w:r>
            <w:r w:rsidR="005D6F3F">
              <w:rPr>
                <w:szCs w:val="18"/>
              </w:rPr>
              <w:t xml:space="preserve"> de periode Q1 2023 inzicht te hebben</w:t>
            </w:r>
            <w:r w:rsidR="0001298C">
              <w:rPr>
                <w:szCs w:val="18"/>
              </w:rPr>
              <w:t xml:space="preserve"> in het effect van IC273</w:t>
            </w:r>
            <w:r w:rsidR="00F625A6">
              <w:rPr>
                <w:szCs w:val="18"/>
              </w:rPr>
              <w:t xml:space="preserve"> op de allocatie.</w:t>
            </w:r>
          </w:p>
          <w:p w14:paraId="414A7756" w14:textId="77777777" w:rsidR="00A3516B" w:rsidRDefault="00A3516B" w:rsidP="000050AB">
            <w:pPr>
              <w:snapToGrid w:val="0"/>
              <w:rPr>
                <w:szCs w:val="18"/>
              </w:rPr>
            </w:pPr>
          </w:p>
          <w:p w14:paraId="60D0E8A5" w14:textId="77777777" w:rsidR="00A3516B" w:rsidRDefault="00A3516B" w:rsidP="000050AB">
            <w:pPr>
              <w:snapToGrid w:val="0"/>
              <w:rPr>
                <w:b/>
                <w:bCs/>
                <w:szCs w:val="18"/>
                <w:u w:val="single"/>
              </w:rPr>
            </w:pPr>
            <w:r>
              <w:rPr>
                <w:b/>
                <w:bCs/>
                <w:szCs w:val="18"/>
                <w:u w:val="single"/>
              </w:rPr>
              <w:t>Probleem</w:t>
            </w:r>
          </w:p>
          <w:p w14:paraId="4979E9F1" w14:textId="4402D901" w:rsidR="00A3516B" w:rsidRDefault="00A3516B" w:rsidP="001D5C82">
            <w:pPr>
              <w:pStyle w:val="Lijstalinea"/>
              <w:numPr>
                <w:ilvl w:val="0"/>
                <w:numId w:val="32"/>
              </w:numPr>
              <w:snapToGrid w:val="0"/>
              <w:rPr>
                <w:szCs w:val="18"/>
              </w:rPr>
            </w:pPr>
            <w:r>
              <w:rPr>
                <w:szCs w:val="18"/>
              </w:rPr>
              <w:t xml:space="preserve">De berekening van RCF (Restvolume Correctie Factor) zoals plaatsvindt in het project Simulatie is </w:t>
            </w:r>
            <w:r w:rsidR="005A5703">
              <w:rPr>
                <w:szCs w:val="18"/>
              </w:rPr>
              <w:t xml:space="preserve">in </w:t>
            </w:r>
            <w:r>
              <w:rPr>
                <w:szCs w:val="18"/>
              </w:rPr>
              <w:t>gedurende de</w:t>
            </w:r>
            <w:r w:rsidR="000F3F91">
              <w:rPr>
                <w:szCs w:val="18"/>
              </w:rPr>
              <w:t>ze</w:t>
            </w:r>
            <w:r>
              <w:rPr>
                <w:szCs w:val="18"/>
              </w:rPr>
              <w:t xml:space="preserve"> verlenging niet mogelijk</w:t>
            </w:r>
            <w:r w:rsidR="006451EC">
              <w:rPr>
                <w:szCs w:val="18"/>
              </w:rPr>
              <w:t xml:space="preserve"> door de </w:t>
            </w:r>
            <w:proofErr w:type="spellStart"/>
            <w:r w:rsidR="006451EC">
              <w:rPr>
                <w:szCs w:val="18"/>
              </w:rPr>
              <w:t>RNBs</w:t>
            </w:r>
            <w:proofErr w:type="spellEnd"/>
            <w:r>
              <w:rPr>
                <w:szCs w:val="18"/>
              </w:rPr>
              <w:t xml:space="preserve">, </w:t>
            </w:r>
            <w:r w:rsidR="00FD29A9">
              <w:rPr>
                <w:szCs w:val="18"/>
              </w:rPr>
              <w:t>vanwege de</w:t>
            </w:r>
            <w:r w:rsidR="006451EC">
              <w:rPr>
                <w:szCs w:val="18"/>
              </w:rPr>
              <w:t xml:space="preserve"> realisatie en het testen van de functionaliteit van A2.0 Tranche 2.</w:t>
            </w:r>
          </w:p>
          <w:p w14:paraId="6510A0E2" w14:textId="77777777" w:rsidR="00A3516B" w:rsidRPr="004800CA" w:rsidRDefault="00A3516B" w:rsidP="000050AB">
            <w:pPr>
              <w:snapToGrid w:val="0"/>
              <w:jc w:val="both"/>
              <w:rPr>
                <w:szCs w:val="18"/>
              </w:rPr>
            </w:pPr>
          </w:p>
        </w:tc>
      </w:tr>
      <w:tr w:rsidR="00A3516B" w:rsidRPr="007151B2" w14:paraId="7E02B27A" w14:textId="77777777" w:rsidTr="000050AB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6E71FCD4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Voorgestelde oplossing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0708" w14:textId="6B270009" w:rsidR="0065505B" w:rsidRPr="00741963" w:rsidRDefault="0065505B" w:rsidP="00741963">
            <w:pPr>
              <w:pStyle w:val="Lijstalinea"/>
              <w:numPr>
                <w:ilvl w:val="0"/>
                <w:numId w:val="34"/>
              </w:numPr>
              <w:rPr>
                <w:b/>
                <w:bCs/>
                <w:szCs w:val="18"/>
              </w:rPr>
            </w:pPr>
            <w:r w:rsidRPr="00741963">
              <w:rPr>
                <w:b/>
                <w:bCs/>
                <w:szCs w:val="18"/>
              </w:rPr>
              <w:t>Dynamische profielfracties</w:t>
            </w:r>
          </w:p>
          <w:p w14:paraId="57E56978" w14:textId="77777777" w:rsidR="005A5703" w:rsidRDefault="005A5703" w:rsidP="005A5703">
            <w:pPr>
              <w:pStyle w:val="Lijstalinea"/>
              <w:numPr>
                <w:ilvl w:val="1"/>
                <w:numId w:val="34"/>
              </w:numPr>
              <w:rPr>
                <w:szCs w:val="18"/>
              </w:rPr>
            </w:pPr>
            <w:r>
              <w:rPr>
                <w:szCs w:val="18"/>
              </w:rPr>
              <w:t>De deelnemende leveranciers (</w:t>
            </w:r>
            <w:proofErr w:type="spellStart"/>
            <w:r>
              <w:rPr>
                <w:szCs w:val="18"/>
              </w:rPr>
              <w:t>Vattenfall</w:t>
            </w:r>
            <w:proofErr w:type="spellEnd"/>
            <w:r>
              <w:rPr>
                <w:szCs w:val="18"/>
              </w:rPr>
              <w:t xml:space="preserve"> en Eneco) blijven m.b.t. deze periode de geaggregeerde datasets aanleveren aan de </w:t>
            </w:r>
            <w:proofErr w:type="spellStart"/>
            <w:r>
              <w:rPr>
                <w:szCs w:val="18"/>
              </w:rPr>
              <w:t>RNBs</w:t>
            </w:r>
            <w:proofErr w:type="spellEnd"/>
            <w:r>
              <w:rPr>
                <w:szCs w:val="18"/>
              </w:rPr>
              <w:t xml:space="preserve"> conform de werkwijze in de simulatieperiode.</w:t>
            </w:r>
          </w:p>
          <w:p w14:paraId="171A687B" w14:textId="04EED048" w:rsidR="0065505B" w:rsidRDefault="0065505B" w:rsidP="0065505B">
            <w:pPr>
              <w:pStyle w:val="Lijstalinea"/>
              <w:numPr>
                <w:ilvl w:val="1"/>
                <w:numId w:val="34"/>
              </w:numPr>
              <w:rPr>
                <w:szCs w:val="18"/>
              </w:rPr>
            </w:pPr>
            <w:r>
              <w:rPr>
                <w:szCs w:val="18"/>
              </w:rPr>
              <w:t>M.b.t. de periode 1-1-2023 t/m</w:t>
            </w:r>
            <w:r w:rsidR="00764F68">
              <w:rPr>
                <w:szCs w:val="18"/>
              </w:rPr>
              <w:t xml:space="preserve"> de functionele go live van IC273 (1-4-2023) worden de dynamische profielfracties berekend</w:t>
            </w:r>
            <w:r w:rsidR="00A936FF">
              <w:rPr>
                <w:szCs w:val="18"/>
              </w:rPr>
              <w:t xml:space="preserve"> door de </w:t>
            </w:r>
            <w:proofErr w:type="spellStart"/>
            <w:r w:rsidR="00A936FF">
              <w:rPr>
                <w:szCs w:val="18"/>
              </w:rPr>
              <w:t>RNBs</w:t>
            </w:r>
            <w:proofErr w:type="spellEnd"/>
            <w:r w:rsidR="00764F68">
              <w:rPr>
                <w:szCs w:val="18"/>
              </w:rPr>
              <w:t>.</w:t>
            </w:r>
          </w:p>
          <w:p w14:paraId="4CCDF1F0" w14:textId="4FC084EB" w:rsidR="00A936FF" w:rsidRDefault="00FD29A9" w:rsidP="0065505B">
            <w:pPr>
              <w:pStyle w:val="Lijstalinea"/>
              <w:numPr>
                <w:ilvl w:val="1"/>
                <w:numId w:val="34"/>
              </w:numPr>
              <w:rPr>
                <w:szCs w:val="18"/>
              </w:rPr>
            </w:pPr>
            <w:r>
              <w:rPr>
                <w:szCs w:val="18"/>
              </w:rPr>
              <w:t xml:space="preserve">De </w:t>
            </w:r>
            <w:proofErr w:type="spellStart"/>
            <w:r>
              <w:rPr>
                <w:szCs w:val="18"/>
              </w:rPr>
              <w:t>RNBs</w:t>
            </w:r>
            <w:proofErr w:type="spellEnd"/>
            <w:r>
              <w:rPr>
                <w:szCs w:val="18"/>
              </w:rPr>
              <w:t xml:space="preserve"> stellen de be</w:t>
            </w:r>
            <w:r w:rsidR="001D5C82">
              <w:rPr>
                <w:szCs w:val="18"/>
              </w:rPr>
              <w:t xml:space="preserve">rekende dynamische profielfracties conform de huidige werkwijze beschikbaar aan de </w:t>
            </w:r>
            <w:proofErr w:type="spellStart"/>
            <w:r w:rsidR="001D5C82">
              <w:rPr>
                <w:szCs w:val="18"/>
              </w:rPr>
              <w:t>BRPs</w:t>
            </w:r>
            <w:proofErr w:type="spellEnd"/>
            <w:r w:rsidR="001D5C82">
              <w:rPr>
                <w:szCs w:val="18"/>
              </w:rPr>
              <w:t>.</w:t>
            </w:r>
          </w:p>
          <w:p w14:paraId="27B8085C" w14:textId="0DB21C03" w:rsidR="001D5C82" w:rsidRPr="00741963" w:rsidRDefault="00884986" w:rsidP="00884986">
            <w:pPr>
              <w:pStyle w:val="Lijstalinea"/>
              <w:numPr>
                <w:ilvl w:val="0"/>
                <w:numId w:val="34"/>
              </w:numPr>
              <w:rPr>
                <w:b/>
                <w:bCs/>
                <w:szCs w:val="18"/>
              </w:rPr>
            </w:pPr>
            <w:proofErr w:type="spellStart"/>
            <w:r w:rsidRPr="00741963">
              <w:rPr>
                <w:b/>
                <w:bCs/>
                <w:szCs w:val="18"/>
              </w:rPr>
              <w:t>RestantVolumeCorrectiefactor</w:t>
            </w:r>
            <w:proofErr w:type="spellEnd"/>
          </w:p>
          <w:p w14:paraId="04E9672D" w14:textId="578DA540" w:rsidR="00884986" w:rsidRDefault="00884986" w:rsidP="00884986">
            <w:pPr>
              <w:pStyle w:val="Lijstalinea"/>
              <w:numPr>
                <w:ilvl w:val="1"/>
                <w:numId w:val="34"/>
              </w:numPr>
              <w:rPr>
                <w:szCs w:val="18"/>
              </w:rPr>
            </w:pPr>
            <w:r>
              <w:rPr>
                <w:szCs w:val="18"/>
              </w:rPr>
              <w:t xml:space="preserve">De RCF wordt niet berekend </w:t>
            </w:r>
            <w:r w:rsidR="008B146D">
              <w:rPr>
                <w:szCs w:val="18"/>
              </w:rPr>
              <w:t>m.b.t. de periode 1-1-2023 t/m de functionele go live van IC273 (1-4-2023).</w:t>
            </w:r>
          </w:p>
          <w:p w14:paraId="70097DF6" w14:textId="1F18D561" w:rsidR="00424FA6" w:rsidRDefault="00424FA6" w:rsidP="00884986">
            <w:pPr>
              <w:pStyle w:val="Lijstalinea"/>
              <w:numPr>
                <w:ilvl w:val="1"/>
                <w:numId w:val="34"/>
              </w:numPr>
              <w:rPr>
                <w:szCs w:val="18"/>
              </w:rPr>
            </w:pPr>
            <w:r>
              <w:rPr>
                <w:szCs w:val="18"/>
              </w:rPr>
              <w:t xml:space="preserve">Ter compensatie voor de </w:t>
            </w:r>
            <w:proofErr w:type="spellStart"/>
            <w:r>
              <w:rPr>
                <w:szCs w:val="18"/>
              </w:rPr>
              <w:t>BRPs</w:t>
            </w:r>
            <w:proofErr w:type="spellEnd"/>
            <w:r>
              <w:rPr>
                <w:szCs w:val="18"/>
              </w:rPr>
              <w:t xml:space="preserve"> wordt het SJISJA-bestand uitgebreid.</w:t>
            </w:r>
          </w:p>
          <w:p w14:paraId="74D27244" w14:textId="2FB27E9C" w:rsidR="008B146D" w:rsidRPr="00741963" w:rsidRDefault="00261FF8" w:rsidP="008B146D">
            <w:pPr>
              <w:pStyle w:val="Lijstalinea"/>
              <w:numPr>
                <w:ilvl w:val="0"/>
                <w:numId w:val="34"/>
              </w:numPr>
              <w:rPr>
                <w:b/>
                <w:bCs/>
                <w:szCs w:val="18"/>
              </w:rPr>
            </w:pPr>
            <w:r w:rsidRPr="00741963">
              <w:rPr>
                <w:b/>
                <w:bCs/>
                <w:szCs w:val="18"/>
              </w:rPr>
              <w:t>SJISJA-bestand</w:t>
            </w:r>
          </w:p>
          <w:p w14:paraId="6DAFF352" w14:textId="6AD02DFC" w:rsidR="00261FF8" w:rsidRDefault="00261FF8" w:rsidP="00261FF8">
            <w:pPr>
              <w:pStyle w:val="Lijstalinea"/>
              <w:numPr>
                <w:ilvl w:val="1"/>
                <w:numId w:val="34"/>
              </w:numPr>
              <w:rPr>
                <w:szCs w:val="18"/>
              </w:rPr>
            </w:pPr>
            <w:r>
              <w:rPr>
                <w:szCs w:val="18"/>
              </w:rPr>
              <w:t xml:space="preserve">Het maandelijkse bestand met de som van de SJI en SJA per netgebied per profielcategorie wordt uitgebreid met het </w:t>
            </w:r>
            <w:r w:rsidRPr="00741963">
              <w:rPr>
                <w:b/>
                <w:bCs/>
                <w:szCs w:val="18"/>
              </w:rPr>
              <w:t>vastgesteld afnametype</w:t>
            </w:r>
            <w:r w:rsidR="0022194B">
              <w:rPr>
                <w:szCs w:val="18"/>
              </w:rPr>
              <w:t xml:space="preserve">, waardoor de gesommeerde SJI en </w:t>
            </w:r>
            <w:r w:rsidR="004D63AF">
              <w:rPr>
                <w:szCs w:val="18"/>
              </w:rPr>
              <w:t>SJA per combinatie van profielcategorie en vastgesteld afname type berekend en opgeleverd worden.</w:t>
            </w:r>
          </w:p>
          <w:p w14:paraId="4C4E4D97" w14:textId="64DA0F83" w:rsidR="00A41CA1" w:rsidRDefault="00A41CA1" w:rsidP="00261FF8">
            <w:pPr>
              <w:pStyle w:val="Lijstalinea"/>
              <w:numPr>
                <w:ilvl w:val="1"/>
                <w:numId w:val="34"/>
              </w:numPr>
              <w:rPr>
                <w:szCs w:val="18"/>
              </w:rPr>
            </w:pPr>
            <w:r>
              <w:rPr>
                <w:szCs w:val="18"/>
              </w:rPr>
              <w:t xml:space="preserve">Het uitgebreide </w:t>
            </w:r>
            <w:r w:rsidR="004D63AF">
              <w:rPr>
                <w:szCs w:val="18"/>
              </w:rPr>
              <w:t>SJISJA-</w:t>
            </w:r>
            <w:r>
              <w:rPr>
                <w:szCs w:val="18"/>
              </w:rPr>
              <w:t xml:space="preserve">bestand wordt m.b.t. de periode 1-1-2022 t/m 31-3-2023 beschikbaar gesteld aan de </w:t>
            </w:r>
            <w:proofErr w:type="spellStart"/>
            <w:r>
              <w:rPr>
                <w:szCs w:val="18"/>
              </w:rPr>
              <w:t>BRPs</w:t>
            </w:r>
            <w:proofErr w:type="spellEnd"/>
            <w:r>
              <w:rPr>
                <w:szCs w:val="18"/>
              </w:rPr>
              <w:t>.</w:t>
            </w:r>
          </w:p>
          <w:p w14:paraId="25FD35B9" w14:textId="2FA60B10" w:rsidR="00A3516B" w:rsidRPr="007B2114" w:rsidRDefault="00A3516B" w:rsidP="000050AB">
            <w:pPr>
              <w:rPr>
                <w:snapToGrid/>
                <w:sz w:val="21"/>
                <w:szCs w:val="21"/>
              </w:rPr>
            </w:pPr>
          </w:p>
        </w:tc>
      </w:tr>
      <w:tr w:rsidR="00A3516B" w14:paraId="0E882EF8" w14:textId="77777777" w:rsidTr="000050AB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4885DBF8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Impact op welk document </w:t>
            </w:r>
          </w:p>
          <w:p w14:paraId="5254976D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 w:rsidRPr="00375D42">
              <w:rPr>
                <w:b/>
                <w:sz w:val="14"/>
                <w:szCs w:val="18"/>
              </w:rPr>
              <w:t xml:space="preserve">(MPM/DPM, </w:t>
            </w:r>
            <w:r>
              <w:rPr>
                <w:b/>
                <w:sz w:val="14"/>
                <w:szCs w:val="18"/>
              </w:rPr>
              <w:t>BRS, MSP</w:t>
            </w:r>
            <w:r w:rsidRPr="00375D42">
              <w:rPr>
                <w:b/>
                <w:sz w:val="14"/>
                <w:szCs w:val="18"/>
              </w:rPr>
              <w:t xml:space="preserve"> …)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24BD" w14:textId="77C5688A" w:rsidR="00A3516B" w:rsidRPr="00FE3A92" w:rsidRDefault="00A3516B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N</w:t>
            </w:r>
            <w:r w:rsidR="002C1F62">
              <w:rPr>
                <w:szCs w:val="18"/>
              </w:rPr>
              <w:t>.</w:t>
            </w:r>
            <w:r>
              <w:rPr>
                <w:szCs w:val="18"/>
              </w:rPr>
              <w:t>v</w:t>
            </w:r>
            <w:r w:rsidR="002C1F62">
              <w:rPr>
                <w:szCs w:val="18"/>
              </w:rPr>
              <w:t>.</w:t>
            </w:r>
            <w:r>
              <w:rPr>
                <w:szCs w:val="18"/>
              </w:rPr>
              <w:t>t</w:t>
            </w:r>
            <w:r w:rsidR="002C1F62">
              <w:rPr>
                <w:szCs w:val="18"/>
              </w:rPr>
              <w:t>.</w:t>
            </w:r>
          </w:p>
        </w:tc>
      </w:tr>
      <w:tr w:rsidR="00A3516B" w14:paraId="107F9ADB" w14:textId="77777777" w:rsidTr="000050AB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197E9E70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Paragraaf/</w:t>
            </w:r>
          </w:p>
          <w:p w14:paraId="2990E6F6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pagina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2EA7" w14:textId="496AFC96" w:rsidR="00A3516B" w:rsidRPr="00FE3A92" w:rsidRDefault="002C1F62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N.v.t.</w:t>
            </w:r>
          </w:p>
        </w:tc>
      </w:tr>
      <w:tr w:rsidR="00A3516B" w14:paraId="3AB0E7E6" w14:textId="77777777" w:rsidTr="000050AB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0A648367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Huidige tekst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B09A" w14:textId="60BE8036" w:rsidR="00A3516B" w:rsidRPr="00FD1F33" w:rsidRDefault="002C1F62" w:rsidP="000050AB">
            <w:pPr>
              <w:snapToGrid w:val="0"/>
            </w:pPr>
            <w:r>
              <w:rPr>
                <w:szCs w:val="18"/>
              </w:rPr>
              <w:t>N.v.t.</w:t>
            </w:r>
          </w:p>
        </w:tc>
      </w:tr>
      <w:tr w:rsidR="00A3516B" w14:paraId="1ECFE3E7" w14:textId="77777777" w:rsidTr="000050AB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2FBD483C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Gewenste tekst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EBEF" w14:textId="3994C29D" w:rsidR="00A3516B" w:rsidRPr="003A5A3D" w:rsidRDefault="002C1F62" w:rsidP="000050AB">
            <w:pPr>
              <w:rPr>
                <w:sz w:val="21"/>
                <w:szCs w:val="21"/>
              </w:rPr>
            </w:pPr>
            <w:r>
              <w:rPr>
                <w:szCs w:val="18"/>
              </w:rPr>
              <w:t>N.v.t.</w:t>
            </w:r>
          </w:p>
        </w:tc>
      </w:tr>
      <w:tr w:rsidR="00A3516B" w14:paraId="69A79683" w14:textId="77777777" w:rsidTr="000050AB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2866D19D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Impact bij niet doorvoeren</w:t>
            </w:r>
          </w:p>
          <w:p w14:paraId="0B842C76" w14:textId="77777777" w:rsidR="00A3516B" w:rsidRDefault="00A3516B" w:rsidP="000050AB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55B9" w14:textId="1E157D30" w:rsidR="00A3516B" w:rsidRPr="00A91AD2" w:rsidRDefault="00A3516B" w:rsidP="000050AB">
            <w:pPr>
              <w:tabs>
                <w:tab w:val="left" w:pos="2380"/>
              </w:tabs>
            </w:pPr>
            <w:proofErr w:type="spellStart"/>
            <w:r>
              <w:t>BRPs</w:t>
            </w:r>
            <w:proofErr w:type="spellEnd"/>
            <w:r>
              <w:t xml:space="preserve"> beschikken </w:t>
            </w:r>
            <w:r w:rsidR="00E8384A">
              <w:t>over de periode 1-1-2023 t</w:t>
            </w:r>
            <w:r w:rsidR="00290C2C">
              <w:t>/m de functionele go live van IC273 (</w:t>
            </w:r>
            <w:r w:rsidR="00E8384A">
              <w:t>1-4-2023</w:t>
            </w:r>
            <w:r w:rsidR="00290C2C">
              <w:t>) niet over de benodigde gegevens om een goede forecast te maken</w:t>
            </w:r>
            <w:r w:rsidR="00276A7E">
              <w:t xml:space="preserve"> m.b.t. de periode vanaf 1-4-2023</w:t>
            </w:r>
            <w:r>
              <w:t xml:space="preserve">. </w:t>
            </w:r>
          </w:p>
        </w:tc>
      </w:tr>
      <w:tr w:rsidR="00A3516B" w14:paraId="523DDE3B" w14:textId="77777777" w:rsidTr="000050AB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</w:tcPr>
          <w:p w14:paraId="5D46068A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Gewenste oplosdatum</w:t>
            </w:r>
          </w:p>
          <w:p w14:paraId="6275CC00" w14:textId="77777777" w:rsidR="00A3516B" w:rsidRDefault="00A3516B" w:rsidP="000050AB">
            <w:pPr>
              <w:rPr>
                <w:b/>
                <w:szCs w:val="18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FD1B" w14:textId="0963EB12" w:rsidR="00A3516B" w:rsidRPr="00AB6C2B" w:rsidRDefault="00A3516B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1-1-202</w:t>
            </w:r>
            <w:r w:rsidR="002B4D02">
              <w:rPr>
                <w:szCs w:val="18"/>
              </w:rPr>
              <w:t>3</w:t>
            </w:r>
          </w:p>
        </w:tc>
      </w:tr>
    </w:tbl>
    <w:p w14:paraId="2A836D14" w14:textId="77777777" w:rsidR="00A3516B" w:rsidRDefault="00A3516B" w:rsidP="000050AB">
      <w:pPr>
        <w:rPr>
          <w:szCs w:val="18"/>
        </w:rPr>
      </w:pPr>
    </w:p>
    <w:p w14:paraId="0EFC6479" w14:textId="77777777" w:rsidR="00A3516B" w:rsidRPr="00E90701" w:rsidRDefault="00A3516B" w:rsidP="000050AB">
      <w:pPr>
        <w:rPr>
          <w:i/>
          <w:szCs w:val="18"/>
        </w:rPr>
      </w:pPr>
    </w:p>
    <w:p w14:paraId="03A71F06" w14:textId="2FA4B301" w:rsidR="00A3516B" w:rsidRPr="00E90701" w:rsidRDefault="00A3516B" w:rsidP="000050AB">
      <w:pPr>
        <w:rPr>
          <w:i/>
          <w:szCs w:val="18"/>
        </w:rPr>
      </w:pPr>
      <w:r w:rsidRPr="00E90701">
        <w:rPr>
          <w:i/>
          <w:szCs w:val="18"/>
        </w:rPr>
        <w:t>Beoordeling RFC op de 3 change criteria (In te vullen door secretaris S</w:t>
      </w:r>
      <w:r w:rsidR="003A5EEC">
        <w:rPr>
          <w:i/>
          <w:szCs w:val="18"/>
        </w:rPr>
        <w:t>I</w:t>
      </w:r>
      <w:r w:rsidRPr="00E90701">
        <w:rPr>
          <w:i/>
          <w:szCs w:val="18"/>
        </w:rPr>
        <w:t>)</w:t>
      </w:r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250"/>
        <w:gridCol w:w="7796"/>
      </w:tblGrid>
      <w:tr w:rsidR="00A3516B" w14:paraId="10DD3696" w14:textId="77777777" w:rsidTr="000050AB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3D5DCAF9" w14:textId="77777777" w:rsidR="00A3516B" w:rsidRDefault="00A3516B" w:rsidP="000050AB">
            <w:pPr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B</w:t>
            </w:r>
            <w:r w:rsidRPr="009E5828">
              <w:rPr>
                <w:b/>
                <w:szCs w:val="18"/>
              </w:rPr>
              <w:t>locking</w:t>
            </w:r>
            <w:proofErr w:type="spellEnd"/>
            <w:r w:rsidRPr="009E5828">
              <w:rPr>
                <w:b/>
                <w:szCs w:val="18"/>
              </w:rPr>
              <w:t xml:space="preserve"> issue voor de sector</w:t>
            </w:r>
            <w:r>
              <w:rPr>
                <w:b/>
                <w:szCs w:val="18"/>
              </w:rPr>
              <w:t xml:space="preserve"> als niet doorvoeren?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8939" w14:textId="7FC48C6A" w:rsidR="00A3516B" w:rsidRDefault="009378CD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Nee</w:t>
            </w:r>
          </w:p>
        </w:tc>
      </w:tr>
      <w:tr w:rsidR="00A3516B" w14:paraId="7F36EE9D" w14:textId="77777777" w:rsidTr="000050AB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1183DB08" w14:textId="77777777" w:rsidR="00A3516B" w:rsidRDefault="00A3516B" w:rsidP="000050AB">
            <w:pPr>
              <w:rPr>
                <w:b/>
                <w:szCs w:val="18"/>
              </w:rPr>
            </w:pPr>
            <w:r w:rsidRPr="009E5828">
              <w:rPr>
                <w:b/>
                <w:szCs w:val="18"/>
              </w:rPr>
              <w:t xml:space="preserve">Toets van het </w:t>
            </w:r>
            <w:proofErr w:type="spellStart"/>
            <w:r w:rsidRPr="009E5828">
              <w:rPr>
                <w:b/>
                <w:szCs w:val="18"/>
              </w:rPr>
              <w:t>blocking</w:t>
            </w:r>
            <w:proofErr w:type="spellEnd"/>
            <w:r w:rsidRPr="009E5828">
              <w:rPr>
                <w:b/>
                <w:szCs w:val="18"/>
              </w:rPr>
              <w:t xml:space="preserve"> issue aan de Acceptatie criteri</w:t>
            </w:r>
            <w:r>
              <w:rPr>
                <w:b/>
                <w:szCs w:val="18"/>
              </w:rPr>
              <w:t>a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80C6" w14:textId="26D856CC" w:rsidR="00A3516B" w:rsidRDefault="009378CD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NVT</w:t>
            </w:r>
          </w:p>
        </w:tc>
      </w:tr>
      <w:tr w:rsidR="00A3516B" w14:paraId="510751BD" w14:textId="77777777" w:rsidTr="000050AB">
        <w:trPr>
          <w:trHeight w:val="219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796CF032" w14:textId="77777777" w:rsidR="00A3516B" w:rsidRDefault="00A3516B" w:rsidP="000050AB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Kan RFC </w:t>
            </w:r>
            <w:r w:rsidRPr="009E5828">
              <w:rPr>
                <w:b/>
                <w:szCs w:val="18"/>
              </w:rPr>
              <w:t xml:space="preserve">worden geabsorbeerd </w:t>
            </w:r>
            <w:r>
              <w:rPr>
                <w:b/>
                <w:szCs w:val="18"/>
              </w:rPr>
              <w:t xml:space="preserve">in huidige </w:t>
            </w:r>
            <w:r w:rsidRPr="009E5828">
              <w:rPr>
                <w:b/>
                <w:szCs w:val="18"/>
              </w:rPr>
              <w:t>planning en kosten</w:t>
            </w:r>
            <w:r>
              <w:rPr>
                <w:b/>
                <w:szCs w:val="18"/>
              </w:rPr>
              <w:t>?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B568" w14:textId="4ADCBBD9" w:rsidR="00A3516B" w:rsidRDefault="009378CD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Ja</w:t>
            </w:r>
          </w:p>
        </w:tc>
      </w:tr>
    </w:tbl>
    <w:p w14:paraId="20D79C46" w14:textId="77777777" w:rsidR="00A3516B" w:rsidRDefault="00A3516B" w:rsidP="000050AB">
      <w:pPr>
        <w:rPr>
          <w:szCs w:val="18"/>
        </w:rPr>
      </w:pPr>
    </w:p>
    <w:p w14:paraId="0A92F064" w14:textId="77777777" w:rsidR="00A3516B" w:rsidRDefault="00A3516B" w:rsidP="000050AB">
      <w:pPr>
        <w:rPr>
          <w:i/>
          <w:snapToGrid/>
          <w:szCs w:val="18"/>
        </w:rPr>
      </w:pPr>
      <w:r>
        <w:rPr>
          <w:i/>
          <w:szCs w:val="18"/>
        </w:rPr>
        <w:t>Beoordeling gremia A2.0 (In te vullen door secretaris)</w:t>
      </w:r>
    </w:p>
    <w:tbl>
      <w:tblPr>
        <w:tblW w:w="979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6"/>
        <w:gridCol w:w="1312"/>
        <w:gridCol w:w="1418"/>
        <w:gridCol w:w="6099"/>
      </w:tblGrid>
      <w:tr w:rsidR="00A3516B" w14:paraId="1718CB77" w14:textId="77777777" w:rsidTr="00741963">
        <w:trPr>
          <w:trHeight w:val="399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14:paraId="421CE054" w14:textId="77777777" w:rsidR="00A3516B" w:rsidRDefault="00A3516B" w:rsidP="000050AB">
            <w:pPr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Versie*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14:paraId="68D6D29A" w14:textId="77777777" w:rsidR="00A3516B" w:rsidRDefault="00A3516B" w:rsidP="000050AB">
            <w:pPr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Gremium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45A40DB" w14:textId="77777777" w:rsidR="00A3516B" w:rsidRDefault="00A3516B" w:rsidP="000050AB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Datum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576BC0A" w14:textId="77777777" w:rsidR="00A3516B" w:rsidRDefault="00A3516B" w:rsidP="000050AB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Oordeel</w:t>
            </w:r>
          </w:p>
        </w:tc>
      </w:tr>
      <w:tr w:rsidR="00A3516B" w14:paraId="6C768396" w14:textId="77777777" w:rsidTr="00741963">
        <w:trPr>
          <w:trHeight w:val="837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hideMark/>
          </w:tcPr>
          <w:p w14:paraId="2D424310" w14:textId="77777777" w:rsidR="00A3516B" w:rsidRDefault="00A3516B" w:rsidP="000050AB">
            <w:pPr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0.2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hideMark/>
          </w:tcPr>
          <w:p w14:paraId="62138471" w14:textId="6F67ABB0" w:rsidR="00A3516B" w:rsidRDefault="00A3516B" w:rsidP="000050AB">
            <w:pPr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CD5C5" w14:textId="2FD8F578" w:rsidR="00A3516B" w:rsidRDefault="00E01990" w:rsidP="000050AB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8-9</w:t>
            </w:r>
            <w:r w:rsidR="00A3516B">
              <w:rPr>
                <w:szCs w:val="18"/>
                <w:lang w:eastAsia="en-US"/>
              </w:rPr>
              <w:t>-2</w:t>
            </w:r>
            <w:r w:rsidR="007E1F20">
              <w:rPr>
                <w:szCs w:val="18"/>
                <w:lang w:eastAsia="en-US"/>
              </w:rPr>
              <w:t>022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9D90" w14:textId="1C7E696C" w:rsidR="00A3516B" w:rsidRDefault="00A3516B" w:rsidP="000050AB">
            <w:pPr>
              <w:rPr>
                <w:szCs w:val="18"/>
                <w:lang w:eastAsia="en-US"/>
              </w:rPr>
            </w:pPr>
          </w:p>
        </w:tc>
      </w:tr>
      <w:tr w:rsidR="00A3516B" w14:paraId="57C7E5DA" w14:textId="77777777" w:rsidTr="00741963">
        <w:trPr>
          <w:trHeight w:val="695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hideMark/>
          </w:tcPr>
          <w:p w14:paraId="4EEBF4B2" w14:textId="77777777" w:rsidR="00A3516B" w:rsidRDefault="00A3516B" w:rsidP="000050AB">
            <w:pPr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0.6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hideMark/>
          </w:tcPr>
          <w:p w14:paraId="4D171DD7" w14:textId="77777777" w:rsidR="00A3516B" w:rsidRDefault="00A3516B" w:rsidP="000050AB">
            <w:pPr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SI MFF BAS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9E65" w14:textId="107862C7" w:rsidR="00A3516B" w:rsidRDefault="002C3451" w:rsidP="000050AB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9-9-2022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41A3" w14:textId="3C38789A" w:rsidR="00A3516B" w:rsidRDefault="002C3451" w:rsidP="000050AB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RFC is ter intake aangenomen. </w:t>
            </w:r>
          </w:p>
        </w:tc>
      </w:tr>
      <w:tr w:rsidR="005A5ABF" w14:paraId="340F3B81" w14:textId="77777777" w:rsidTr="00741963">
        <w:trPr>
          <w:trHeight w:val="695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14:paraId="4C7E98F0" w14:textId="29537DE0" w:rsidR="005A5ABF" w:rsidRDefault="005A5ABF" w:rsidP="000050AB">
            <w:pPr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0.</w:t>
            </w:r>
            <w:r w:rsidR="000F2F2B">
              <w:rPr>
                <w:b/>
                <w:szCs w:val="18"/>
                <w:lang w:eastAsia="en-US"/>
              </w:rPr>
              <w:t>8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14:paraId="2FBE12EB" w14:textId="5881D724" w:rsidR="005A5ABF" w:rsidRDefault="005A5ABF" w:rsidP="000050AB">
            <w:pPr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9225" w14:textId="4E88F1C9" w:rsidR="005A5ABF" w:rsidRDefault="005A5ABF" w:rsidP="000050AB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22-09-2022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90D1" w14:textId="6C1BBCE6" w:rsidR="009F5914" w:rsidRPr="009F5914" w:rsidRDefault="009F5914" w:rsidP="009F5914">
            <w:pPr>
              <w:rPr>
                <w:szCs w:val="18"/>
                <w:lang w:eastAsia="en-US"/>
              </w:rPr>
            </w:pPr>
            <w:r w:rsidRPr="009F5914">
              <w:rPr>
                <w:szCs w:val="18"/>
                <w:lang w:eastAsia="en-US"/>
              </w:rPr>
              <w:t xml:space="preserve">De Change </w:t>
            </w:r>
            <w:proofErr w:type="spellStart"/>
            <w:r w:rsidRPr="009F5914">
              <w:rPr>
                <w:szCs w:val="18"/>
                <w:lang w:eastAsia="en-US"/>
              </w:rPr>
              <w:t>Authority</w:t>
            </w:r>
            <w:proofErr w:type="spellEnd"/>
            <w:r w:rsidRPr="009F5914">
              <w:rPr>
                <w:szCs w:val="18"/>
                <w:lang w:eastAsia="en-US"/>
              </w:rPr>
              <w:t xml:space="preserve"> stelt vast dat de </w:t>
            </w:r>
            <w:proofErr w:type="spellStart"/>
            <w:r w:rsidRPr="009F5914">
              <w:rPr>
                <w:szCs w:val="18"/>
                <w:lang w:eastAsia="en-US"/>
              </w:rPr>
              <w:t>RfC</w:t>
            </w:r>
            <w:proofErr w:type="spellEnd"/>
            <w:r w:rsidRPr="009F5914">
              <w:rPr>
                <w:szCs w:val="18"/>
                <w:lang w:eastAsia="en-US"/>
              </w:rPr>
              <w:t xml:space="preserve"> 273.3 aansluit bij de doelstellingen van het Programma Allocatie 2.0 (faciliteren verwante processen en vervangen </w:t>
            </w:r>
            <w:proofErr w:type="spellStart"/>
            <w:r w:rsidRPr="009F5914">
              <w:rPr>
                <w:szCs w:val="18"/>
                <w:lang w:eastAsia="en-US"/>
              </w:rPr>
              <w:t>Edine</w:t>
            </w:r>
            <w:proofErr w:type="spellEnd"/>
            <w:r w:rsidRPr="009F5914">
              <w:rPr>
                <w:szCs w:val="18"/>
                <w:lang w:eastAsia="en-US"/>
              </w:rPr>
              <w:t xml:space="preserve"> berichten meetdata GV door XML), maar niet in scope is van het Programma Allocatie 2.0.</w:t>
            </w:r>
          </w:p>
          <w:p w14:paraId="7DBB7B89" w14:textId="7F2ABAD6" w:rsidR="009F5914" w:rsidRPr="009F5914" w:rsidRDefault="009F5914" w:rsidP="009F5914">
            <w:pPr>
              <w:rPr>
                <w:szCs w:val="18"/>
                <w:lang w:eastAsia="en-US"/>
              </w:rPr>
            </w:pPr>
            <w:r w:rsidRPr="009F5914">
              <w:rPr>
                <w:szCs w:val="18"/>
                <w:lang w:eastAsia="en-US"/>
              </w:rPr>
              <w:t xml:space="preserve">De Change </w:t>
            </w:r>
            <w:proofErr w:type="spellStart"/>
            <w:r w:rsidRPr="009F5914">
              <w:rPr>
                <w:szCs w:val="18"/>
                <w:lang w:eastAsia="en-US"/>
              </w:rPr>
              <w:t>Authority</w:t>
            </w:r>
            <w:proofErr w:type="spellEnd"/>
            <w:r w:rsidRPr="009F5914">
              <w:rPr>
                <w:szCs w:val="18"/>
                <w:lang w:eastAsia="en-US"/>
              </w:rPr>
              <w:t xml:space="preserve"> stelt vast dat de </w:t>
            </w:r>
            <w:proofErr w:type="spellStart"/>
            <w:r w:rsidRPr="009F5914">
              <w:rPr>
                <w:szCs w:val="18"/>
                <w:lang w:eastAsia="en-US"/>
              </w:rPr>
              <w:t>RfC</w:t>
            </w:r>
            <w:proofErr w:type="spellEnd"/>
            <w:r w:rsidRPr="009F5914">
              <w:rPr>
                <w:szCs w:val="18"/>
                <w:lang w:eastAsia="en-US"/>
              </w:rPr>
              <w:t xml:space="preserve"> 273.3 enkel impact heeft op Tranche 2 en geen impact heeft op andere onderdelen van het Programma Allocatie 2.0 </w:t>
            </w:r>
          </w:p>
          <w:p w14:paraId="5A3B67F0" w14:textId="254EAA8A" w:rsidR="005A5ABF" w:rsidRDefault="009F5914" w:rsidP="009F5914">
            <w:pPr>
              <w:rPr>
                <w:szCs w:val="18"/>
                <w:lang w:eastAsia="en-US"/>
              </w:rPr>
            </w:pPr>
            <w:r w:rsidRPr="009F5914">
              <w:rPr>
                <w:szCs w:val="18"/>
                <w:lang w:eastAsia="en-US"/>
              </w:rPr>
              <w:t xml:space="preserve">De Change </w:t>
            </w:r>
            <w:proofErr w:type="spellStart"/>
            <w:r w:rsidRPr="009F5914">
              <w:rPr>
                <w:szCs w:val="18"/>
                <w:lang w:eastAsia="en-US"/>
              </w:rPr>
              <w:t>Authority</w:t>
            </w:r>
            <w:proofErr w:type="spellEnd"/>
            <w:r w:rsidRPr="009F5914">
              <w:rPr>
                <w:szCs w:val="18"/>
                <w:lang w:eastAsia="en-US"/>
              </w:rPr>
              <w:t xml:space="preserve"> keurt de </w:t>
            </w:r>
            <w:proofErr w:type="spellStart"/>
            <w:r w:rsidRPr="009F5914">
              <w:rPr>
                <w:szCs w:val="18"/>
                <w:lang w:eastAsia="en-US"/>
              </w:rPr>
              <w:t>RfC</w:t>
            </w:r>
            <w:proofErr w:type="spellEnd"/>
            <w:r w:rsidRPr="009F5914">
              <w:rPr>
                <w:szCs w:val="18"/>
                <w:lang w:eastAsia="en-US"/>
              </w:rPr>
              <w:t xml:space="preserve"> 273.3 goed</w:t>
            </w:r>
          </w:p>
        </w:tc>
      </w:tr>
      <w:tr w:rsidR="00A3516B" w14:paraId="45FEA3B8" w14:textId="77777777" w:rsidTr="00741963">
        <w:trPr>
          <w:trHeight w:val="695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hideMark/>
          </w:tcPr>
          <w:p w14:paraId="2AC9BBA8" w14:textId="77777777" w:rsidR="00A3516B" w:rsidRDefault="00A3516B" w:rsidP="000050AB">
            <w:pPr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0.9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hideMark/>
          </w:tcPr>
          <w:p w14:paraId="1830DF3F" w14:textId="720F403A" w:rsidR="00A3516B" w:rsidRDefault="00F24E4F" w:rsidP="000050AB">
            <w:pPr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SI MFF BAS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24BE" w14:textId="53BBB08D" w:rsidR="00A3516B" w:rsidRDefault="00F24E4F" w:rsidP="000050AB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23-0</w:t>
            </w:r>
            <w:r w:rsidR="00600292">
              <w:rPr>
                <w:szCs w:val="18"/>
                <w:lang w:eastAsia="en-US"/>
              </w:rPr>
              <w:t>9-2022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50FC" w14:textId="7EA1743F" w:rsidR="00A3516B" w:rsidRDefault="003332B8" w:rsidP="000050AB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De RFC is goedgekeurd. </w:t>
            </w:r>
          </w:p>
        </w:tc>
      </w:tr>
      <w:tr w:rsidR="00A3516B" w14:paraId="323976BA" w14:textId="77777777" w:rsidTr="00F24E4F">
        <w:trPr>
          <w:trHeight w:val="695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hideMark/>
          </w:tcPr>
          <w:p w14:paraId="54DBB152" w14:textId="77777777" w:rsidR="00A3516B" w:rsidRDefault="00A3516B" w:rsidP="000050AB">
            <w:pPr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0.99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</w:tcPr>
          <w:p w14:paraId="0B2E6AB6" w14:textId="02F60156" w:rsidR="00A3516B" w:rsidRDefault="00F24E4F" w:rsidP="000050AB">
            <w:pPr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SSG MFF BAS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8C61" w14:textId="6E35E17D" w:rsidR="00A3516B" w:rsidRDefault="00072889" w:rsidP="000050AB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30-09-2022</w:t>
            </w:r>
          </w:p>
        </w:tc>
        <w:tc>
          <w:tcPr>
            <w:tcW w:w="6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2AED" w14:textId="0AE19021" w:rsidR="00A3516B" w:rsidRDefault="00072889" w:rsidP="000050AB">
            <w:pPr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 xml:space="preserve">De RFC is vastgesteld. </w:t>
            </w:r>
          </w:p>
        </w:tc>
      </w:tr>
    </w:tbl>
    <w:p w14:paraId="618C92FD" w14:textId="77777777" w:rsidR="00A3516B" w:rsidRDefault="00A3516B" w:rsidP="000050AB">
      <w:pPr>
        <w:rPr>
          <w:szCs w:val="18"/>
        </w:rPr>
      </w:pPr>
    </w:p>
    <w:p w14:paraId="531C8BC4" w14:textId="77777777" w:rsidR="00A3516B" w:rsidRDefault="00A3516B" w:rsidP="000050AB">
      <w:pPr>
        <w:keepNext/>
        <w:keepLines/>
        <w:outlineLvl w:val="0"/>
        <w:rPr>
          <w:i/>
          <w:szCs w:val="18"/>
        </w:rPr>
      </w:pPr>
      <w:r>
        <w:rPr>
          <w:i/>
          <w:szCs w:val="18"/>
        </w:rPr>
        <w:t>Gerelateerde documenten</w:t>
      </w:r>
    </w:p>
    <w:tbl>
      <w:tblPr>
        <w:tblW w:w="97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241"/>
        <w:gridCol w:w="3010"/>
        <w:gridCol w:w="1429"/>
        <w:gridCol w:w="1560"/>
        <w:gridCol w:w="2551"/>
      </w:tblGrid>
      <w:tr w:rsidR="00A3516B" w14:paraId="244E9F64" w14:textId="77777777" w:rsidTr="000050AB">
        <w:trPr>
          <w:trHeight w:val="280"/>
          <w:tblHeader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092ABCB1" w14:textId="77777777" w:rsidR="00A3516B" w:rsidRDefault="00A3516B" w:rsidP="000050AB">
            <w:pPr>
              <w:keepNext/>
              <w:keepLines/>
              <w:snapToGrid w:val="0"/>
              <w:rPr>
                <w:b/>
                <w:szCs w:val="18"/>
              </w:rPr>
            </w:pPr>
            <w:proofErr w:type="spellStart"/>
            <w:r>
              <w:rPr>
                <w:b/>
                <w:szCs w:val="18"/>
              </w:rPr>
              <w:t>Nr</w:t>
            </w:r>
            <w:proofErr w:type="spellEnd"/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79587A6" w14:textId="77777777" w:rsidR="00A3516B" w:rsidRDefault="00A3516B" w:rsidP="000050AB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Omschrijving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E81D1BB" w14:textId="77777777" w:rsidR="00A3516B" w:rsidRDefault="00A3516B" w:rsidP="000050AB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Versie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6557D862" w14:textId="77777777" w:rsidR="00A3516B" w:rsidRDefault="00A3516B" w:rsidP="000050AB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615258E" w14:textId="77777777" w:rsidR="00A3516B" w:rsidRDefault="00A3516B" w:rsidP="000050AB">
            <w:pPr>
              <w:keepNext/>
              <w:keepLines/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Auteur</w:t>
            </w:r>
          </w:p>
        </w:tc>
      </w:tr>
      <w:tr w:rsidR="00A3516B" w14:paraId="30BD1FC2" w14:textId="77777777" w:rsidTr="000050AB">
        <w:trPr>
          <w:trHeight w:val="23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57AE5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88C8A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472F4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AFF44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9AA9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</w:tr>
      <w:tr w:rsidR="00A3516B" w14:paraId="7F69162F" w14:textId="77777777" w:rsidTr="000050AB">
        <w:trPr>
          <w:trHeight w:val="23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83190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24438" w14:textId="77777777" w:rsidR="00A3516B" w:rsidRDefault="00A3516B" w:rsidP="000050AB">
            <w:pPr>
              <w:keepNext/>
              <w:keepLines/>
              <w:snapToGrid w:val="0"/>
              <w:rPr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FE931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1D644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C3E5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</w:tr>
      <w:tr w:rsidR="00A3516B" w14:paraId="29E4360A" w14:textId="77777777" w:rsidTr="000050AB">
        <w:trPr>
          <w:trHeight w:val="238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4FBC9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C51D1" w14:textId="77777777" w:rsidR="00A3516B" w:rsidRPr="006E006D" w:rsidRDefault="00A3516B" w:rsidP="000050AB">
            <w:pPr>
              <w:keepNext/>
              <w:keepLines/>
              <w:snapToGrid w:val="0"/>
              <w:rPr>
                <w:sz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BAC3F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BC753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9E35" w14:textId="77777777" w:rsidR="00A3516B" w:rsidRDefault="00A3516B" w:rsidP="000050AB">
            <w:pPr>
              <w:keepNext/>
              <w:keepLines/>
              <w:snapToGrid w:val="0"/>
              <w:rPr>
                <w:szCs w:val="18"/>
              </w:rPr>
            </w:pPr>
          </w:p>
        </w:tc>
      </w:tr>
    </w:tbl>
    <w:p w14:paraId="32F9EEDB" w14:textId="77777777" w:rsidR="00A3516B" w:rsidRDefault="00A3516B" w:rsidP="000050AB"/>
    <w:p w14:paraId="5E719E73" w14:textId="77777777" w:rsidR="00A3516B" w:rsidRDefault="00A3516B" w:rsidP="000050AB">
      <w:pPr>
        <w:outlineLvl w:val="0"/>
        <w:rPr>
          <w:i/>
          <w:szCs w:val="18"/>
        </w:rPr>
      </w:pPr>
      <w:r>
        <w:rPr>
          <w:i/>
          <w:szCs w:val="18"/>
        </w:rPr>
        <w:t>Documentbeheer</w:t>
      </w:r>
    </w:p>
    <w:tbl>
      <w:tblPr>
        <w:tblW w:w="980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472"/>
        <w:gridCol w:w="1715"/>
        <w:gridCol w:w="6614"/>
      </w:tblGrid>
      <w:tr w:rsidR="00A3516B" w14:paraId="72D9314C" w14:textId="77777777" w:rsidTr="000050AB">
        <w:trPr>
          <w:trHeight w:val="280"/>
          <w:tblHeader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47D891A5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lastRenderedPageBreak/>
              <w:t>Versie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/>
          </w:tcPr>
          <w:p w14:paraId="5A58480C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Datum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7D0DDCA" w14:textId="77777777" w:rsidR="00A3516B" w:rsidRDefault="00A3516B" w:rsidP="000050AB">
            <w:pPr>
              <w:snapToGrid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Wijzigingen</w:t>
            </w:r>
          </w:p>
        </w:tc>
      </w:tr>
      <w:tr w:rsidR="00A3516B" w14:paraId="4C1F14A6" w14:textId="77777777" w:rsidTr="000050AB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5232E" w14:textId="77777777" w:rsidR="00A3516B" w:rsidRDefault="00A3516B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0.1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344D9" w14:textId="02BF79AF" w:rsidR="00A3516B" w:rsidRDefault="00A3516B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31-08-2022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07F6" w14:textId="77777777" w:rsidR="00A3516B" w:rsidRDefault="00A3516B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Eerste versie RFC</w:t>
            </w:r>
          </w:p>
        </w:tc>
      </w:tr>
      <w:tr w:rsidR="00A3516B" w:rsidRPr="00E9792B" w14:paraId="2D9456C5" w14:textId="77777777" w:rsidTr="000050AB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FA728" w14:textId="77777777" w:rsidR="00A3516B" w:rsidRPr="00741963" w:rsidRDefault="00A3516B" w:rsidP="000050AB">
            <w:pPr>
              <w:snapToGrid w:val="0"/>
              <w:rPr>
                <w:szCs w:val="18"/>
                <w:lang w:val="en-GB"/>
              </w:rPr>
            </w:pPr>
            <w:r w:rsidRPr="00741963">
              <w:rPr>
                <w:szCs w:val="18"/>
                <w:lang w:val="en-GB"/>
              </w:rPr>
              <w:t>0.6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C57FD" w14:textId="7BAD0806" w:rsidR="00A3516B" w:rsidRPr="006C5907" w:rsidRDefault="002C3451" w:rsidP="000050AB">
            <w:pPr>
              <w:snapToGrid w:val="0"/>
              <w:rPr>
                <w:szCs w:val="18"/>
                <w:lang w:val="en-GB"/>
              </w:rPr>
            </w:pPr>
            <w:r w:rsidRPr="006C5907">
              <w:rPr>
                <w:szCs w:val="18"/>
                <w:lang w:val="en-GB"/>
              </w:rPr>
              <w:t>13-9-2022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5011" w14:textId="391E5BD0" w:rsidR="00A3516B" w:rsidRPr="006C5907" w:rsidRDefault="006C5907" w:rsidP="000050AB">
            <w:pPr>
              <w:snapToGrid w:val="0"/>
              <w:rPr>
                <w:szCs w:val="18"/>
              </w:rPr>
            </w:pPr>
            <w:r w:rsidRPr="006C5907">
              <w:rPr>
                <w:szCs w:val="18"/>
              </w:rPr>
              <w:t>Intakeverwerking</w:t>
            </w:r>
          </w:p>
        </w:tc>
      </w:tr>
      <w:tr w:rsidR="000F2F2B" w:rsidRPr="00E9792B" w14:paraId="606EE0D9" w14:textId="77777777" w:rsidTr="000050AB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815DF" w14:textId="6BCB5596" w:rsidR="000F2F2B" w:rsidRPr="00741963" w:rsidRDefault="003D5A70" w:rsidP="000050AB">
            <w:pPr>
              <w:snapToGrid w:val="0"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0.8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BFEA7" w14:textId="21CC3124" w:rsidR="000F2F2B" w:rsidRPr="006C5907" w:rsidRDefault="003D5A70" w:rsidP="000050AB">
            <w:pPr>
              <w:snapToGrid w:val="0"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22-09-2022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230F" w14:textId="2AE8E655" w:rsidR="000F2F2B" w:rsidRPr="006C5907" w:rsidRDefault="00F23DB0" w:rsidP="000050AB">
            <w:pPr>
              <w:snapToGrid w:val="0"/>
              <w:rPr>
                <w:szCs w:val="18"/>
              </w:rPr>
            </w:pPr>
            <w:r>
              <w:rPr>
                <w:szCs w:val="18"/>
              </w:rPr>
              <w:t>Versie na goedkeuring CA</w:t>
            </w:r>
          </w:p>
        </w:tc>
      </w:tr>
      <w:tr w:rsidR="00A3516B" w:rsidRPr="00E9792B" w14:paraId="68857317" w14:textId="77777777" w:rsidTr="000050AB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19F0E" w14:textId="77777777" w:rsidR="00A3516B" w:rsidRPr="00741963" w:rsidRDefault="00A3516B" w:rsidP="000050AB">
            <w:pPr>
              <w:snapToGrid w:val="0"/>
              <w:rPr>
                <w:szCs w:val="18"/>
              </w:rPr>
            </w:pPr>
            <w:r w:rsidRPr="00741963">
              <w:rPr>
                <w:szCs w:val="18"/>
              </w:rPr>
              <w:t>1.0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FAD9C" w14:textId="68060F38" w:rsidR="00A3516B" w:rsidRPr="003A5EEC" w:rsidRDefault="00A3516B" w:rsidP="000050AB">
            <w:pPr>
              <w:snapToGrid w:val="0"/>
              <w:rPr>
                <w:szCs w:val="18"/>
                <w:highlight w:val="yellow"/>
              </w:rPr>
            </w:pP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0520" w14:textId="4F941CBF" w:rsidR="00A3516B" w:rsidRPr="003A5EEC" w:rsidRDefault="00A3516B" w:rsidP="000050AB">
            <w:pPr>
              <w:snapToGrid w:val="0"/>
              <w:rPr>
                <w:szCs w:val="18"/>
                <w:highlight w:val="yellow"/>
              </w:rPr>
            </w:pPr>
          </w:p>
        </w:tc>
      </w:tr>
      <w:tr w:rsidR="00A3516B" w:rsidRPr="00E9792B" w14:paraId="300E0B3F" w14:textId="77777777" w:rsidTr="000050AB">
        <w:trPr>
          <w:trHeight w:val="250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D2AB8" w14:textId="77777777" w:rsidR="00A3516B" w:rsidRPr="00BD1BB5" w:rsidRDefault="00A3516B" w:rsidP="000050AB">
            <w:pPr>
              <w:snapToGrid w:val="0"/>
              <w:rPr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CCE3A" w14:textId="77777777" w:rsidR="00A3516B" w:rsidRPr="00BD1BB5" w:rsidRDefault="00A3516B" w:rsidP="000050AB">
            <w:pPr>
              <w:snapToGrid w:val="0"/>
              <w:rPr>
                <w:szCs w:val="18"/>
              </w:rPr>
            </w:pP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6ACD" w14:textId="77777777" w:rsidR="00A3516B" w:rsidRPr="00BD1BB5" w:rsidRDefault="00A3516B" w:rsidP="000050AB">
            <w:pPr>
              <w:snapToGrid w:val="0"/>
              <w:rPr>
                <w:szCs w:val="18"/>
              </w:rPr>
            </w:pPr>
          </w:p>
        </w:tc>
      </w:tr>
    </w:tbl>
    <w:p w14:paraId="0A0BB848" w14:textId="77777777" w:rsidR="00F05426" w:rsidRPr="00E02B66" w:rsidRDefault="00F05426" w:rsidP="00A3516B">
      <w:pPr>
        <w:outlineLvl w:val="0"/>
      </w:pPr>
    </w:p>
    <w:sectPr w:rsidR="00F05426" w:rsidRPr="00E02B66" w:rsidSect="006A07A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1134" w:bottom="1418" w:left="1134" w:header="709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153D" w14:textId="77777777" w:rsidR="00B56D4E" w:rsidRDefault="00B56D4E">
      <w:pPr>
        <w:spacing w:line="240" w:lineRule="auto"/>
      </w:pPr>
      <w:r>
        <w:separator/>
      </w:r>
    </w:p>
  </w:endnote>
  <w:endnote w:type="continuationSeparator" w:id="0">
    <w:p w14:paraId="6E68DD65" w14:textId="77777777" w:rsidR="00B56D4E" w:rsidRDefault="00B56D4E">
      <w:pPr>
        <w:spacing w:line="240" w:lineRule="auto"/>
      </w:pPr>
      <w:r>
        <w:continuationSeparator/>
      </w:r>
    </w:p>
  </w:endnote>
  <w:endnote w:type="continuationNotice" w:id="1">
    <w:p w14:paraId="1B51B739" w14:textId="77777777" w:rsidR="00B56D4E" w:rsidRDefault="00B56D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0C25" w14:textId="5DD617FB" w:rsidR="00FA416D" w:rsidRDefault="00510337">
    <w:pPr>
      <w:pStyle w:val="Voettekst"/>
    </w:pPr>
    <w:r>
      <w:rPr>
        <w:noProof/>
        <w:snapToGrid/>
      </w:rPr>
      <w:drawing>
        <wp:anchor distT="0" distB="0" distL="114300" distR="114300" simplePos="0" relativeHeight="251658244" behindDoc="0" locked="0" layoutInCell="1" allowOverlap="1" wp14:anchorId="432DB3DD" wp14:editId="0FC4906B">
          <wp:simplePos x="0" y="0"/>
          <wp:positionH relativeFrom="page">
            <wp:align>right</wp:align>
          </wp:positionH>
          <wp:positionV relativeFrom="paragraph">
            <wp:posOffset>-769421</wp:posOffset>
          </wp:positionV>
          <wp:extent cx="2134235" cy="1497330"/>
          <wp:effectExtent l="0" t="0" r="0" b="7620"/>
          <wp:wrapNone/>
          <wp:docPr id="56" name="Afbeelding 56" descr="Graphical user interfac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A416D" w:rsidRPr="00DA03D4">
      <w:rPr>
        <w:b/>
      </w:rPr>
      <w:fldChar w:fldCharType="begin"/>
    </w:r>
    <w:r w:rsidR="00FA416D" w:rsidRPr="00DA03D4">
      <w:rPr>
        <w:b/>
      </w:rPr>
      <w:instrText xml:space="preserve"> PAGE   \* MERGEFORMAT </w:instrText>
    </w:r>
    <w:r w:rsidR="00FA416D" w:rsidRPr="00DA03D4">
      <w:rPr>
        <w:b/>
      </w:rPr>
      <w:fldChar w:fldCharType="separate"/>
    </w:r>
    <w:r w:rsidR="00FA416D">
      <w:rPr>
        <w:b/>
        <w:noProof/>
      </w:rPr>
      <w:t>2</w:t>
    </w:r>
    <w:r w:rsidR="00FA416D" w:rsidRPr="00DA03D4">
      <w:rPr>
        <w:b/>
      </w:rPr>
      <w:fldChar w:fldCharType="end"/>
    </w:r>
    <w:r w:rsidR="00FA416D" w:rsidRPr="00DA03D4">
      <w:rPr>
        <w:b/>
      </w:rPr>
      <w:t xml:space="preserve"> - </w:t>
    </w:r>
    <w:r w:rsidR="00FA416D" w:rsidRPr="00DA03D4">
      <w:rPr>
        <w:b/>
      </w:rPr>
      <w:fldChar w:fldCharType="begin"/>
    </w:r>
    <w:r w:rsidR="00FA416D" w:rsidRPr="00DA03D4">
      <w:rPr>
        <w:b/>
      </w:rPr>
      <w:instrText xml:space="preserve"> NUMPAGES   \* MERGEFORMAT </w:instrText>
    </w:r>
    <w:r w:rsidR="00FA416D" w:rsidRPr="00DA03D4">
      <w:rPr>
        <w:b/>
      </w:rPr>
      <w:fldChar w:fldCharType="separate"/>
    </w:r>
    <w:r w:rsidR="00FA416D">
      <w:rPr>
        <w:b/>
        <w:noProof/>
      </w:rPr>
      <w:t>6</w:t>
    </w:r>
    <w:r w:rsidR="00FA416D" w:rsidRPr="00DA03D4">
      <w:rPr>
        <w:b/>
      </w:rPr>
      <w:fldChar w:fldCharType="end"/>
    </w:r>
    <w:r w:rsidR="001F3142">
      <w:rPr>
        <w:b/>
      </w:rPr>
      <w:tab/>
    </w:r>
    <w:r w:rsidR="001F3142">
      <w:rPr>
        <w:b/>
      </w:rPr>
      <w:tab/>
    </w:r>
    <w:r w:rsidR="001F3142">
      <w:rPr>
        <w:b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8F06" w14:textId="7FC6D586" w:rsidR="006F313A" w:rsidRDefault="00DF4522">
    <w:pPr>
      <w:pStyle w:val="Voettekst"/>
    </w:pPr>
    <w:r>
      <w:rPr>
        <w:noProof/>
        <w:snapToGrid/>
      </w:rPr>
      <w:drawing>
        <wp:anchor distT="0" distB="0" distL="114300" distR="114300" simplePos="0" relativeHeight="251658245" behindDoc="0" locked="0" layoutInCell="1" allowOverlap="1" wp14:anchorId="6571BB93" wp14:editId="5735E9A4">
          <wp:simplePos x="0" y="0"/>
          <wp:positionH relativeFrom="page">
            <wp:align>right</wp:align>
          </wp:positionH>
          <wp:positionV relativeFrom="paragraph">
            <wp:posOffset>-769421</wp:posOffset>
          </wp:positionV>
          <wp:extent cx="2134235" cy="1497330"/>
          <wp:effectExtent l="0" t="0" r="0" b="7620"/>
          <wp:wrapNone/>
          <wp:docPr id="58" name="Afbeelding 58" descr="Graphical user interfac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fbeelding 9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A03D4">
      <w:rPr>
        <w:b/>
      </w:rPr>
      <w:fldChar w:fldCharType="begin"/>
    </w:r>
    <w:r w:rsidRPr="00DA03D4">
      <w:rPr>
        <w:b/>
      </w:rPr>
      <w:instrText xml:space="preserve"> PAGE   \* MERGEFORMAT </w:instrText>
    </w:r>
    <w:r w:rsidRPr="00DA03D4">
      <w:rPr>
        <w:b/>
      </w:rPr>
      <w:fldChar w:fldCharType="separate"/>
    </w:r>
    <w:r>
      <w:rPr>
        <w:b/>
      </w:rPr>
      <w:t>2</w:t>
    </w:r>
    <w:r w:rsidRPr="00DA03D4">
      <w:rPr>
        <w:b/>
      </w:rPr>
      <w:fldChar w:fldCharType="end"/>
    </w:r>
    <w:r w:rsidRPr="00DA03D4">
      <w:rPr>
        <w:b/>
      </w:rPr>
      <w:t xml:space="preserve"> - </w:t>
    </w:r>
    <w:r w:rsidRPr="00DA03D4">
      <w:rPr>
        <w:b/>
      </w:rPr>
      <w:fldChar w:fldCharType="begin"/>
    </w:r>
    <w:r w:rsidRPr="00DA03D4">
      <w:rPr>
        <w:b/>
      </w:rPr>
      <w:instrText xml:space="preserve"> NUMPAGES   \* MERGEFORMAT </w:instrText>
    </w:r>
    <w:r w:rsidRPr="00DA03D4">
      <w:rPr>
        <w:b/>
      </w:rPr>
      <w:fldChar w:fldCharType="separate"/>
    </w:r>
    <w:r>
      <w:rPr>
        <w:b/>
      </w:rPr>
      <w:t>8</w:t>
    </w:r>
    <w:r w:rsidRPr="00DA03D4">
      <w:rPr>
        <w:b/>
      </w:rPr>
      <w:fldChar w:fldCharType="end"/>
    </w:r>
    <w:r>
      <w:rPr>
        <w:b/>
      </w:rPr>
      <w:tab/>
    </w:r>
    <w:r>
      <w:rPr>
        <w:b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7B48" w14:textId="77777777" w:rsidR="00B56D4E" w:rsidRDefault="00B56D4E">
      <w:pPr>
        <w:spacing w:line="240" w:lineRule="auto"/>
      </w:pPr>
      <w:r>
        <w:separator/>
      </w:r>
    </w:p>
  </w:footnote>
  <w:footnote w:type="continuationSeparator" w:id="0">
    <w:p w14:paraId="480A231F" w14:textId="77777777" w:rsidR="00B56D4E" w:rsidRDefault="00B56D4E">
      <w:pPr>
        <w:spacing w:line="240" w:lineRule="auto"/>
      </w:pPr>
      <w:r>
        <w:continuationSeparator/>
      </w:r>
    </w:p>
  </w:footnote>
  <w:footnote w:type="continuationNotice" w:id="1">
    <w:p w14:paraId="31CD5839" w14:textId="77777777" w:rsidR="00B56D4E" w:rsidRDefault="00B56D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8FDC" w14:textId="771B7D78" w:rsidR="00FA416D" w:rsidRPr="002D30BD" w:rsidRDefault="001F3142">
    <w:pPr>
      <w:pStyle w:val="Koptekst"/>
      <w:rPr>
        <w:snapToGrid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29D11549" wp14:editId="552A5986">
          <wp:simplePos x="0" y="0"/>
          <wp:positionH relativeFrom="page">
            <wp:posOffset>50800</wp:posOffset>
          </wp:positionH>
          <wp:positionV relativeFrom="page">
            <wp:posOffset>114300</wp:posOffset>
          </wp:positionV>
          <wp:extent cx="1274445" cy="692150"/>
          <wp:effectExtent l="0" t="0" r="1905" b="0"/>
          <wp:wrapNone/>
          <wp:docPr id="55" name="Afbeelding 55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4B958DF" wp14:editId="65935221">
              <wp:simplePos x="0" y="0"/>
              <wp:positionH relativeFrom="column">
                <wp:posOffset>5102860</wp:posOffset>
              </wp:positionH>
              <wp:positionV relativeFrom="paragraph">
                <wp:posOffset>-119380</wp:posOffset>
              </wp:positionV>
              <wp:extent cx="1305560" cy="374650"/>
              <wp:effectExtent l="0" t="0" r="27940" b="25400"/>
              <wp:wrapNone/>
              <wp:docPr id="5" name="Rechthoe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5560" cy="3746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CBE0EA" w14:textId="77777777" w:rsidR="001F3142" w:rsidRPr="007C1E73" w:rsidRDefault="001F3142" w:rsidP="001F3142">
                          <w:pPr>
                            <w:spacing w:line="240" w:lineRule="atLeast"/>
                            <w:jc w:val="center"/>
                            <w:rPr>
                              <w:rFonts w:asciiTheme="minorHAnsi" w:cstheme="minorBidi"/>
                              <w:b/>
                              <w:bCs/>
                              <w:color w:val="00B050"/>
                              <w:kern w:val="24"/>
                              <w:sz w:val="36"/>
                              <w:szCs w:val="36"/>
                            </w:rPr>
                          </w:pPr>
                          <w:r w:rsidRPr="007C1E73">
                            <w:rPr>
                              <w:rFonts w:asciiTheme="minorHAnsi" w:cstheme="minorBidi"/>
                              <w:b/>
                              <w:bCs/>
                              <w:color w:val="00B050"/>
                              <w:kern w:val="24"/>
                              <w:sz w:val="36"/>
                              <w:szCs w:val="36"/>
                            </w:rPr>
                            <w:t>TLP: GROEN</w:t>
                          </w:r>
                        </w:p>
                      </w:txbxContent>
                    </wps:txbx>
                    <wps:bodyPr vertOverflow="clip" horzOverflow="clip" wrap="square" lIns="36000" rIns="36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B958DF" id="Rechthoek 5" o:spid="_x0000_s1026" style="position:absolute;margin-left:401.8pt;margin-top:-9.4pt;width:102.8pt;height:2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BI7DgIAAHEEAAAOAAAAZHJzL2Uyb0RvYy54bWysVMGO0zAQvSPxD5bvNGlLC6qartCuFiEh&#10;dsXCB7jOuLFwPMZ2m5SvZ+y0aVnggujBHdsz7715trO+6VvDDuCDRlvx6aTkDKzEWttdxb9+uX/1&#10;lrMQha2FQQsVP0LgN5uXL9adW8EMGzQ1eEYgNqw6V/EmRrcqiiAbaEWYoANLmwp9KyJN/a6ovegI&#10;vTXFrCyXRYe+dh4lhECrd8Mm32R8pUDGB6UCRGYqTtpiHn0et2ksNmux2nnhGi1PMsQ/qGiFtkQ6&#10;Qt2JKNje69+gWi09BlRxIrEtUCktIfdA3UzLZ908NcJB7oXMCW60Kfw/WPnp8OQePdnQubAKFKYu&#10;euXb9E/6WJ/NOo5mQR+ZpMXpvFwsluSppL35m9fLRXazuFQ7H+J7wJaloOKeDiN7JA4fQyRGSj2n&#10;JLKARtf32pg88bvtrfHsINLB5V86Kyq5SisumnMUjwZSsbGfQTFdk8pZZszXCUa8+tt0WG5EDQPF&#10;IlGcGdLlS9mZL4MlVEXSRtwTwDlzAEm4g8hTbiqDfAvHwvJvgobCMTszoo1jYast+j8VmziyDvkk&#10;+8qOFMZ+2xN+CrdYHx/JV/DxgQZlsKu4NNpx1qD/8Xyto6dR8fB9LzxwZj5YunvzZfKK+V8m0dzi&#10;8MaElYREoHGQa/HdPqLS+cgvEk4q6V5nm09vMD2c63nOunwpNj8BAAD//wMAUEsDBBQABgAIAAAA&#10;IQBsCuTo3gAAAAsBAAAPAAAAZHJzL2Rvd25yZXYueG1sTI8xT8MwEIV3JP6DdUhsrZ2ArCTkUiEk&#10;FiYaurC58REHYjuK3Tb597gTjKf79N736t1iR3amOQzeIWRbAYxc5/XgeoTDx+umABaiclqN3hHC&#10;SgF2ze1NrSrtL25P5zb2LIW4UCkEE+NUcR46Q1aFrZ/Ipd+Xn62K6Zx7rmd1SeF25LkQkls1uNRg&#10;1EQvhrqf9mQRpOnL9XNt83dxiNl3Kd6k2UvE+7vl+QlYpCX+wXDVT+rQJKejPzkd2IhQiAeZUIRN&#10;VqQNV0KIMgd2RHgUOfCm5v83NL8AAAD//wMAUEsBAi0AFAAGAAgAAAAhALaDOJL+AAAA4QEAABMA&#10;AAAAAAAAAAAAAAAAAAAAAFtDb250ZW50X1R5cGVzXS54bWxQSwECLQAUAAYACAAAACEAOP0h/9YA&#10;AACUAQAACwAAAAAAAAAAAAAAAAAvAQAAX3JlbHMvLnJlbHNQSwECLQAUAAYACAAAACEAiKASOw4C&#10;AABxBAAADgAAAAAAAAAAAAAAAAAuAgAAZHJzL2Uyb0RvYy54bWxQSwECLQAUAAYACAAAACEAbArk&#10;6N4AAAALAQAADwAAAAAAAAAAAAAAAABoBAAAZHJzL2Rvd25yZXYueG1sUEsFBgAAAAAEAAQA8wAA&#10;AHMFAAAAAA==&#10;" fillcolor="black" strokecolor="black [1600]" strokeweight="2pt">
              <v:textbox inset="1mm,,1mm">
                <w:txbxContent>
                  <w:p w14:paraId="7DCBE0EA" w14:textId="77777777" w:rsidR="001F3142" w:rsidRPr="007C1E73" w:rsidRDefault="001F3142" w:rsidP="001F3142">
                    <w:pPr>
                      <w:spacing w:line="240" w:lineRule="atLeast"/>
                      <w:jc w:val="center"/>
                      <w:rPr>
                        <w:rFonts w:asciiTheme="minorHAnsi" w:cstheme="minorBidi"/>
                        <w:b/>
                        <w:bCs/>
                        <w:color w:val="00B050"/>
                        <w:kern w:val="24"/>
                        <w:sz w:val="36"/>
                        <w:szCs w:val="36"/>
                      </w:rPr>
                    </w:pPr>
                    <w:r w:rsidRPr="007C1E73">
                      <w:rPr>
                        <w:rFonts w:asciiTheme="minorHAnsi" w:cstheme="minorBidi"/>
                        <w:b/>
                        <w:bCs/>
                        <w:color w:val="00B050"/>
                        <w:kern w:val="24"/>
                        <w:sz w:val="36"/>
                        <w:szCs w:val="36"/>
                      </w:rPr>
                      <w:t>TLP: GROEN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5ACD" w14:textId="63C20C6D" w:rsidR="00D418E3" w:rsidRDefault="00D418E3" w:rsidP="00D418E3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4A5D449" wp14:editId="65878F3D">
          <wp:simplePos x="0" y="0"/>
          <wp:positionH relativeFrom="page">
            <wp:posOffset>50800</wp:posOffset>
          </wp:positionH>
          <wp:positionV relativeFrom="page">
            <wp:posOffset>114300</wp:posOffset>
          </wp:positionV>
          <wp:extent cx="1274445" cy="692150"/>
          <wp:effectExtent l="0" t="0" r="1905" b="0"/>
          <wp:wrapNone/>
          <wp:docPr id="57" name="Afbeelding 57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CDC2E5" wp14:editId="54BBFC9E">
              <wp:simplePos x="0" y="0"/>
              <wp:positionH relativeFrom="column">
                <wp:posOffset>5102860</wp:posOffset>
              </wp:positionH>
              <wp:positionV relativeFrom="paragraph">
                <wp:posOffset>-119380</wp:posOffset>
              </wp:positionV>
              <wp:extent cx="1305560" cy="374650"/>
              <wp:effectExtent l="0" t="0" r="27940" b="25400"/>
              <wp:wrapNone/>
              <wp:docPr id="12" name="Rechthoe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5560" cy="3746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B5435D6" w14:textId="1AE23FF6" w:rsidR="00D418E3" w:rsidRPr="007C1E73" w:rsidRDefault="00D418E3" w:rsidP="007C1E73">
                          <w:pPr>
                            <w:spacing w:line="240" w:lineRule="atLeast"/>
                            <w:jc w:val="center"/>
                            <w:rPr>
                              <w:rFonts w:asciiTheme="minorHAnsi" w:cstheme="minorBidi"/>
                              <w:b/>
                              <w:bCs/>
                              <w:color w:val="00B050"/>
                              <w:kern w:val="24"/>
                              <w:sz w:val="36"/>
                              <w:szCs w:val="36"/>
                            </w:rPr>
                          </w:pPr>
                          <w:r w:rsidRPr="007C1E73">
                            <w:rPr>
                              <w:rFonts w:asciiTheme="minorHAnsi" w:cstheme="minorBidi"/>
                              <w:b/>
                              <w:bCs/>
                              <w:color w:val="00B050"/>
                              <w:kern w:val="24"/>
                              <w:sz w:val="36"/>
                              <w:szCs w:val="36"/>
                            </w:rPr>
                            <w:t xml:space="preserve">TLP: </w:t>
                          </w:r>
                          <w:r w:rsidR="008A59AE" w:rsidRPr="007C1E73">
                            <w:rPr>
                              <w:rFonts w:asciiTheme="minorHAnsi" w:cstheme="minorBidi"/>
                              <w:b/>
                              <w:bCs/>
                              <w:color w:val="00B050"/>
                              <w:kern w:val="24"/>
                              <w:sz w:val="36"/>
                              <w:szCs w:val="36"/>
                            </w:rPr>
                            <w:t>GROEN</w:t>
                          </w:r>
                        </w:p>
                      </w:txbxContent>
                    </wps:txbx>
                    <wps:bodyPr vertOverflow="clip" horzOverflow="clip" wrap="square" lIns="36000" rIns="36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CDC2E5" id="Rechthoek 12" o:spid="_x0000_s1027" style="position:absolute;margin-left:401.8pt;margin-top:-9.4pt;width:102.8pt;height:2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O30EgIAAHgEAAAOAAAAZHJzL2Uyb0RvYy54bWysVMGO0zAQvSPxD5bvNGlLC6qartCuFiEh&#10;dsXCB7jOuLFwPMZ2m5SvZ+y0aVnggujBtcczb968GWd907eGHcAHjbbi00nJGViJtba7in/9cv/q&#10;LWchClsLgxYqfoTAbzYvX6w7t4IZNmhq8IxAbFh1ruJNjG5VFEE20IowQQeWLhX6VkQ6+l1Re9ER&#10;emuKWVkuiw597TxKCIGsd8Ml32R8pUDGB6UCRGYqTtxiXn1et2ktNmux2nnhGi1PNMQ/sGiFtpR0&#10;hLoTUbC9179BtVp6DKjiRGJboFJaQq6BqpmWz6p5aoSDXAuJE9woU/h/sPLT4ck9epKhc2EVaJuq&#10;6JVv0z/xY30W6ziKBX1kkozTeblYLElTSXfzN6+Xi6xmcYl2PsT3gC1Lm4p7akbWSBw+hkgZyfXs&#10;kpIFNLq+18bkg99tb41nB5Eal3+pVxRy5VZcOOddPBpIwcZ+BsV0TSxnOWMeJxjx6m/TwdyIGoYU&#10;i5TinCENX/LO+TJYQlVEbcQ9AZw9B5CEO5A8+aYwyFM4BpZ/IzQEjt45I9o4Brbaov9TsIlj1sGf&#10;aF/Jkbax3/akBzUt8UuWLdbHR5IXfHygRRnsKi6Ndpw16H88t3X0Qioevu+FB87MB0sjOF8myZj/&#10;5RDNLQ5PTVhJSAQaB9YW3+0jKp07f6FwIkvjndU+PcX0fq7P2evywdj8BAAA//8DAFBLAwQUAAYA&#10;CAAAACEAbArk6N4AAAALAQAADwAAAGRycy9kb3ducmV2LnhtbEyPMU/DMBCFdyT+g3VIbK2dgKwk&#10;5FIhJBYmGrqwufERB2I7it02+fe4E4yn+/Te9+rdYkd2pjkM3iFkWwGMXOf14HqEw8frpgAWonJa&#10;jd4RwkoBds3tTa0q7S9uT+c29iyFuFApBBPjVHEeOkNWha2fyKXfl5+tiumce65ndUnhduS5EJJb&#10;NbjUYNREL4a6n/ZkEaTpy/VzbfN3cYjZdynepNlLxPu75fkJWKQl/sFw1U/q0CSnoz85HdiIUIgH&#10;mVCETVakDVdCiDIHdkR4FDnwpub/NzS/AAAA//8DAFBLAQItABQABgAIAAAAIQC2gziS/gAAAOEB&#10;AAATAAAAAAAAAAAAAAAAAAAAAABbQ29udGVudF9UeXBlc10ueG1sUEsBAi0AFAAGAAgAAAAhADj9&#10;If/WAAAAlAEAAAsAAAAAAAAAAAAAAAAALwEAAF9yZWxzLy5yZWxzUEsBAi0AFAAGAAgAAAAhAEBU&#10;7fQSAgAAeAQAAA4AAAAAAAAAAAAAAAAALgIAAGRycy9lMm9Eb2MueG1sUEsBAi0AFAAGAAgAAAAh&#10;AGwK5OjeAAAACwEAAA8AAAAAAAAAAAAAAAAAbAQAAGRycy9kb3ducmV2LnhtbFBLBQYAAAAABAAE&#10;APMAAAB3BQAAAAA=&#10;" fillcolor="black" strokecolor="black [1600]" strokeweight="2pt">
              <v:textbox inset="1mm,,1mm">
                <w:txbxContent>
                  <w:p w14:paraId="5B5435D6" w14:textId="1AE23FF6" w:rsidR="00D418E3" w:rsidRPr="007C1E73" w:rsidRDefault="00D418E3" w:rsidP="007C1E73">
                    <w:pPr>
                      <w:spacing w:line="240" w:lineRule="atLeast"/>
                      <w:jc w:val="center"/>
                      <w:rPr>
                        <w:rFonts w:asciiTheme="minorHAnsi" w:cstheme="minorBidi"/>
                        <w:b/>
                        <w:bCs/>
                        <w:color w:val="00B050"/>
                        <w:kern w:val="24"/>
                        <w:sz w:val="36"/>
                        <w:szCs w:val="36"/>
                      </w:rPr>
                    </w:pPr>
                    <w:r w:rsidRPr="007C1E73">
                      <w:rPr>
                        <w:rFonts w:asciiTheme="minorHAnsi" w:cstheme="minorBidi"/>
                        <w:b/>
                        <w:bCs/>
                        <w:color w:val="00B050"/>
                        <w:kern w:val="24"/>
                        <w:sz w:val="36"/>
                        <w:szCs w:val="36"/>
                      </w:rPr>
                      <w:t xml:space="preserve">TLP: </w:t>
                    </w:r>
                    <w:r w:rsidR="008A59AE" w:rsidRPr="007C1E73">
                      <w:rPr>
                        <w:rFonts w:asciiTheme="minorHAnsi" w:cstheme="minorBidi"/>
                        <w:b/>
                        <w:bCs/>
                        <w:color w:val="00B050"/>
                        <w:kern w:val="24"/>
                        <w:sz w:val="36"/>
                        <w:szCs w:val="36"/>
                      </w:rPr>
                      <w:t>GROEN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D20E"/>
    <w:multiLevelType w:val="multilevel"/>
    <w:tmpl w:val="00EBD21E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20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2994D09"/>
    <w:multiLevelType w:val="hybridMultilevel"/>
    <w:tmpl w:val="D9BA62BC"/>
    <w:lvl w:ilvl="0" w:tplc="CF28ED44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B04AD3"/>
    <w:multiLevelType w:val="hybridMultilevel"/>
    <w:tmpl w:val="691238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0A6D"/>
    <w:multiLevelType w:val="hybridMultilevel"/>
    <w:tmpl w:val="0A082AEE"/>
    <w:lvl w:ilvl="0" w:tplc="8B78F1C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B51E2"/>
    <w:multiLevelType w:val="hybridMultilevel"/>
    <w:tmpl w:val="E22C67DC"/>
    <w:lvl w:ilvl="0" w:tplc="F956F8C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B6B1D"/>
    <w:multiLevelType w:val="multilevel"/>
    <w:tmpl w:val="27FE8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D510BC9"/>
    <w:multiLevelType w:val="hybridMultilevel"/>
    <w:tmpl w:val="6344C74C"/>
    <w:lvl w:ilvl="0" w:tplc="735ABA0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F76A4"/>
    <w:multiLevelType w:val="hybridMultilevel"/>
    <w:tmpl w:val="6C3802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2F97"/>
    <w:multiLevelType w:val="multilevel"/>
    <w:tmpl w:val="97BCAAA6"/>
    <w:name w:val="List-1025227538"/>
    <w:lvl w:ilvl="0">
      <w:start w:val="1"/>
      <w:numFmt w:val="decimal"/>
      <w:lvlText w:val="%1"/>
      <w:lvlJc w:val="left"/>
      <w:rPr>
        <w:rFonts w:cs="Times New Roman"/>
        <w:color w:val="B8CCE4" w:themeColor="accent1" w:themeTint="66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9" w15:restartNumberingAfterBreak="0">
    <w:nsid w:val="340B5699"/>
    <w:multiLevelType w:val="multilevel"/>
    <w:tmpl w:val="DE7C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990486"/>
    <w:multiLevelType w:val="hybridMultilevel"/>
    <w:tmpl w:val="FB14BCF8"/>
    <w:lvl w:ilvl="0" w:tplc="C1462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859A5"/>
    <w:multiLevelType w:val="multilevel"/>
    <w:tmpl w:val="97BCAAA6"/>
    <w:lvl w:ilvl="0">
      <w:start w:val="1"/>
      <w:numFmt w:val="decimal"/>
      <w:lvlText w:val="%1"/>
      <w:lvlJc w:val="left"/>
      <w:rPr>
        <w:rFonts w:cs="Times New Roman"/>
        <w:color w:val="B8CCE4" w:themeColor="accent1" w:themeTint="66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2" w15:restartNumberingAfterBreak="0">
    <w:nsid w:val="3FC9334C"/>
    <w:multiLevelType w:val="hybridMultilevel"/>
    <w:tmpl w:val="470602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069E5"/>
    <w:multiLevelType w:val="hybridMultilevel"/>
    <w:tmpl w:val="FD3C96D2"/>
    <w:lvl w:ilvl="0" w:tplc="735ABA0E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03129"/>
    <w:multiLevelType w:val="hybridMultilevel"/>
    <w:tmpl w:val="4C36410C"/>
    <w:lvl w:ilvl="0" w:tplc="0413000F">
      <w:start w:val="1"/>
      <w:numFmt w:val="decimal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C71020"/>
    <w:multiLevelType w:val="hybridMultilevel"/>
    <w:tmpl w:val="930219C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6A0CA1"/>
    <w:multiLevelType w:val="hybridMultilevel"/>
    <w:tmpl w:val="40CC43DA"/>
    <w:lvl w:ilvl="0" w:tplc="8B78F1C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BD611A"/>
    <w:multiLevelType w:val="hybridMultilevel"/>
    <w:tmpl w:val="AED6E26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1041F8"/>
    <w:multiLevelType w:val="hybridMultilevel"/>
    <w:tmpl w:val="12DE2AF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E3604C"/>
    <w:multiLevelType w:val="hybridMultilevel"/>
    <w:tmpl w:val="FA9CBB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7275D"/>
    <w:multiLevelType w:val="hybridMultilevel"/>
    <w:tmpl w:val="BC7427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33726"/>
    <w:multiLevelType w:val="multilevel"/>
    <w:tmpl w:val="549A18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2BBE2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CD40B71"/>
    <w:multiLevelType w:val="hybridMultilevel"/>
    <w:tmpl w:val="3DC8716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E36DD4"/>
    <w:multiLevelType w:val="hybridMultilevel"/>
    <w:tmpl w:val="4AA29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6AE075CE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3649FD"/>
    <w:multiLevelType w:val="multilevel"/>
    <w:tmpl w:val="86BE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7619A6"/>
    <w:multiLevelType w:val="hybridMultilevel"/>
    <w:tmpl w:val="C6CE83E8"/>
    <w:lvl w:ilvl="0" w:tplc="E7289EB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A26F63"/>
    <w:multiLevelType w:val="hybridMultilevel"/>
    <w:tmpl w:val="F71C81F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0E002C"/>
    <w:multiLevelType w:val="multilevel"/>
    <w:tmpl w:val="67D6E454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Kop2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pStyle w:val="Kop3"/>
      <w:lvlText w:val="%1.%2.%3"/>
      <w:lvlJc w:val="left"/>
      <w:pPr>
        <w:ind w:left="1080" w:hanging="360"/>
      </w:pPr>
      <w:rPr>
        <w:rFonts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E3255DF"/>
    <w:multiLevelType w:val="hybridMultilevel"/>
    <w:tmpl w:val="96EA2634"/>
    <w:lvl w:ilvl="0" w:tplc="BE7059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D1E40"/>
    <w:multiLevelType w:val="hybridMultilevel"/>
    <w:tmpl w:val="71DA43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17D47"/>
    <w:multiLevelType w:val="hybridMultilevel"/>
    <w:tmpl w:val="9E524D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E72F6"/>
    <w:multiLevelType w:val="hybridMultilevel"/>
    <w:tmpl w:val="AC1A0B70"/>
    <w:lvl w:ilvl="0" w:tplc="B33CA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081A84"/>
    <w:multiLevelType w:val="hybridMultilevel"/>
    <w:tmpl w:val="EAC63B1C"/>
    <w:lvl w:ilvl="0" w:tplc="123E457A">
      <w:start w:val="1"/>
      <w:numFmt w:val="lowerLetter"/>
      <w:lvlText w:val="%1."/>
      <w:lvlJc w:val="left"/>
      <w:pPr>
        <w:ind w:left="118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03" w:hanging="360"/>
      </w:pPr>
    </w:lvl>
    <w:lvl w:ilvl="2" w:tplc="0413001B" w:tentative="1">
      <w:start w:val="1"/>
      <w:numFmt w:val="lowerRoman"/>
      <w:lvlText w:val="%3."/>
      <w:lvlJc w:val="right"/>
      <w:pPr>
        <w:ind w:left="2623" w:hanging="180"/>
      </w:pPr>
    </w:lvl>
    <w:lvl w:ilvl="3" w:tplc="0413000F" w:tentative="1">
      <w:start w:val="1"/>
      <w:numFmt w:val="decimal"/>
      <w:lvlText w:val="%4."/>
      <w:lvlJc w:val="left"/>
      <w:pPr>
        <w:ind w:left="3343" w:hanging="360"/>
      </w:pPr>
    </w:lvl>
    <w:lvl w:ilvl="4" w:tplc="04130019" w:tentative="1">
      <w:start w:val="1"/>
      <w:numFmt w:val="lowerLetter"/>
      <w:lvlText w:val="%5."/>
      <w:lvlJc w:val="left"/>
      <w:pPr>
        <w:ind w:left="4063" w:hanging="360"/>
      </w:pPr>
    </w:lvl>
    <w:lvl w:ilvl="5" w:tplc="0413001B" w:tentative="1">
      <w:start w:val="1"/>
      <w:numFmt w:val="lowerRoman"/>
      <w:lvlText w:val="%6."/>
      <w:lvlJc w:val="right"/>
      <w:pPr>
        <w:ind w:left="4783" w:hanging="180"/>
      </w:pPr>
    </w:lvl>
    <w:lvl w:ilvl="6" w:tplc="0413000F" w:tentative="1">
      <w:start w:val="1"/>
      <w:numFmt w:val="decimal"/>
      <w:lvlText w:val="%7."/>
      <w:lvlJc w:val="left"/>
      <w:pPr>
        <w:ind w:left="5503" w:hanging="360"/>
      </w:pPr>
    </w:lvl>
    <w:lvl w:ilvl="7" w:tplc="04130019" w:tentative="1">
      <w:start w:val="1"/>
      <w:numFmt w:val="lowerLetter"/>
      <w:lvlText w:val="%8."/>
      <w:lvlJc w:val="left"/>
      <w:pPr>
        <w:ind w:left="6223" w:hanging="360"/>
      </w:pPr>
    </w:lvl>
    <w:lvl w:ilvl="8" w:tplc="0413001B" w:tentative="1">
      <w:start w:val="1"/>
      <w:numFmt w:val="lowerRoman"/>
      <w:lvlText w:val="%9."/>
      <w:lvlJc w:val="right"/>
      <w:pPr>
        <w:ind w:left="6943" w:hanging="180"/>
      </w:pPr>
    </w:lvl>
  </w:abstractNum>
  <w:num w:numId="1" w16cid:durableId="1982226338">
    <w:abstractNumId w:val="21"/>
  </w:num>
  <w:num w:numId="2" w16cid:durableId="8970844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9190178">
    <w:abstractNumId w:val="27"/>
  </w:num>
  <w:num w:numId="4" w16cid:durableId="304360371">
    <w:abstractNumId w:val="23"/>
  </w:num>
  <w:num w:numId="5" w16cid:durableId="1639602748">
    <w:abstractNumId w:val="29"/>
  </w:num>
  <w:num w:numId="6" w16cid:durableId="919409464">
    <w:abstractNumId w:val="6"/>
  </w:num>
  <w:num w:numId="7" w16cid:durableId="816991534">
    <w:abstractNumId w:val="26"/>
  </w:num>
  <w:num w:numId="8" w16cid:durableId="1782602228">
    <w:abstractNumId w:val="13"/>
  </w:num>
  <w:num w:numId="9" w16cid:durableId="1854802025">
    <w:abstractNumId w:val="10"/>
  </w:num>
  <w:num w:numId="10" w16cid:durableId="1312444517">
    <w:abstractNumId w:val="25"/>
  </w:num>
  <w:num w:numId="11" w16cid:durableId="1286037841">
    <w:abstractNumId w:val="2"/>
  </w:num>
  <w:num w:numId="12" w16cid:durableId="1434856600">
    <w:abstractNumId w:val="18"/>
  </w:num>
  <w:num w:numId="13" w16cid:durableId="1348871739">
    <w:abstractNumId w:val="4"/>
  </w:num>
  <w:num w:numId="14" w16cid:durableId="260383125">
    <w:abstractNumId w:val="14"/>
  </w:num>
  <w:num w:numId="15" w16cid:durableId="1459373591">
    <w:abstractNumId w:val="7"/>
  </w:num>
  <w:num w:numId="16" w16cid:durableId="414087138">
    <w:abstractNumId w:val="32"/>
  </w:num>
  <w:num w:numId="17" w16cid:durableId="823814315">
    <w:abstractNumId w:val="1"/>
  </w:num>
  <w:num w:numId="18" w16cid:durableId="419183009">
    <w:abstractNumId w:val="30"/>
  </w:num>
  <w:num w:numId="19" w16cid:durableId="1355771265">
    <w:abstractNumId w:val="5"/>
  </w:num>
  <w:num w:numId="20" w16cid:durableId="1688287328">
    <w:abstractNumId w:val="20"/>
  </w:num>
  <w:num w:numId="21" w16cid:durableId="286666988">
    <w:abstractNumId w:val="0"/>
  </w:num>
  <w:num w:numId="22" w16cid:durableId="1579367233">
    <w:abstractNumId w:val="8"/>
  </w:num>
  <w:num w:numId="23" w16cid:durableId="1368529713">
    <w:abstractNumId w:val="11"/>
  </w:num>
  <w:num w:numId="24" w16cid:durableId="2004504341">
    <w:abstractNumId w:val="17"/>
  </w:num>
  <w:num w:numId="25" w16cid:durableId="1817336702">
    <w:abstractNumId w:val="3"/>
  </w:num>
  <w:num w:numId="26" w16cid:durableId="1909917042">
    <w:abstractNumId w:val="16"/>
  </w:num>
  <w:num w:numId="27" w16cid:durableId="1355770100">
    <w:abstractNumId w:val="24"/>
  </w:num>
  <w:num w:numId="28" w16cid:durableId="702557767">
    <w:abstractNumId w:val="9"/>
  </w:num>
  <w:num w:numId="29" w16cid:durableId="734739253">
    <w:abstractNumId w:val="19"/>
  </w:num>
  <w:num w:numId="30" w16cid:durableId="1478837403">
    <w:abstractNumId w:val="15"/>
  </w:num>
  <w:num w:numId="31" w16cid:durableId="1725595257">
    <w:abstractNumId w:val="22"/>
  </w:num>
  <w:num w:numId="32" w16cid:durableId="1872259306">
    <w:abstractNumId w:val="28"/>
  </w:num>
  <w:num w:numId="33" w16cid:durableId="929237931">
    <w:abstractNumId w:val="12"/>
  </w:num>
  <w:num w:numId="34" w16cid:durableId="133530049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rgebruik_modelid" w:val="17"/>
    <w:docVar w:name="hergebruik_taalid" w:val="1"/>
    <w:docVar w:name="wwo_logo_present" w:val="no"/>
    <w:docVar w:name="wwo_style_kop1" w:val="Genummerd hoofdstuk"/>
    <w:docVar w:name="wwo_style_kop2" w:val="Genummerde paragraaf"/>
    <w:docVar w:name="wwo_style_kop3" w:val="Genummerde subparagraaf"/>
    <w:docVar w:name="wwo_style_tabelkop" w:val="Tabelkop"/>
    <w:docVar w:name="wwo_style_tabeltekst" w:val="Tabeltekst"/>
  </w:docVars>
  <w:rsids>
    <w:rsidRoot w:val="00693F78"/>
    <w:rsid w:val="00004E80"/>
    <w:rsid w:val="000068C3"/>
    <w:rsid w:val="0001298C"/>
    <w:rsid w:val="00014F47"/>
    <w:rsid w:val="000207B6"/>
    <w:rsid w:val="0002221A"/>
    <w:rsid w:val="00022EF9"/>
    <w:rsid w:val="00023316"/>
    <w:rsid w:val="00030FFE"/>
    <w:rsid w:val="00036D61"/>
    <w:rsid w:val="00040881"/>
    <w:rsid w:val="00043406"/>
    <w:rsid w:val="00050C6B"/>
    <w:rsid w:val="00054A43"/>
    <w:rsid w:val="00055363"/>
    <w:rsid w:val="00055463"/>
    <w:rsid w:val="000567FC"/>
    <w:rsid w:val="000655BA"/>
    <w:rsid w:val="000655C7"/>
    <w:rsid w:val="00067CA1"/>
    <w:rsid w:val="00072889"/>
    <w:rsid w:val="00076061"/>
    <w:rsid w:val="00081DD2"/>
    <w:rsid w:val="00082B80"/>
    <w:rsid w:val="00084683"/>
    <w:rsid w:val="0009017E"/>
    <w:rsid w:val="00095DC9"/>
    <w:rsid w:val="000A1776"/>
    <w:rsid w:val="000B2165"/>
    <w:rsid w:val="000B3084"/>
    <w:rsid w:val="000B6F85"/>
    <w:rsid w:val="000C07BE"/>
    <w:rsid w:val="000D18A7"/>
    <w:rsid w:val="000D4F32"/>
    <w:rsid w:val="000D69EA"/>
    <w:rsid w:val="000E0D10"/>
    <w:rsid w:val="000E1810"/>
    <w:rsid w:val="000E1830"/>
    <w:rsid w:val="000E4410"/>
    <w:rsid w:val="000E4963"/>
    <w:rsid w:val="000F19D3"/>
    <w:rsid w:val="000F214D"/>
    <w:rsid w:val="000F2F2B"/>
    <w:rsid w:val="000F3F91"/>
    <w:rsid w:val="000F439D"/>
    <w:rsid w:val="001018CE"/>
    <w:rsid w:val="00104132"/>
    <w:rsid w:val="00107035"/>
    <w:rsid w:val="00112CEF"/>
    <w:rsid w:val="001219AB"/>
    <w:rsid w:val="00121E19"/>
    <w:rsid w:val="00122D78"/>
    <w:rsid w:val="001316CE"/>
    <w:rsid w:val="00133F47"/>
    <w:rsid w:val="001353CF"/>
    <w:rsid w:val="00136AD7"/>
    <w:rsid w:val="00146F24"/>
    <w:rsid w:val="00151D9C"/>
    <w:rsid w:val="00157A28"/>
    <w:rsid w:val="0016692E"/>
    <w:rsid w:val="00180DE0"/>
    <w:rsid w:val="0018297B"/>
    <w:rsid w:val="00184C11"/>
    <w:rsid w:val="00185646"/>
    <w:rsid w:val="001954AC"/>
    <w:rsid w:val="001A39DD"/>
    <w:rsid w:val="001A3AC2"/>
    <w:rsid w:val="001A6C63"/>
    <w:rsid w:val="001A7188"/>
    <w:rsid w:val="001B2D5A"/>
    <w:rsid w:val="001C1817"/>
    <w:rsid w:val="001C29FF"/>
    <w:rsid w:val="001C6613"/>
    <w:rsid w:val="001D00E2"/>
    <w:rsid w:val="001D0340"/>
    <w:rsid w:val="001D041F"/>
    <w:rsid w:val="001D5C82"/>
    <w:rsid w:val="001E0834"/>
    <w:rsid w:val="001E6DF2"/>
    <w:rsid w:val="001E7FEE"/>
    <w:rsid w:val="001F1ECF"/>
    <w:rsid w:val="001F2386"/>
    <w:rsid w:val="001F3142"/>
    <w:rsid w:val="001F3E80"/>
    <w:rsid w:val="001F7BAA"/>
    <w:rsid w:val="00200995"/>
    <w:rsid w:val="00200D73"/>
    <w:rsid w:val="00201E79"/>
    <w:rsid w:val="00207937"/>
    <w:rsid w:val="00213365"/>
    <w:rsid w:val="00213D58"/>
    <w:rsid w:val="002141D7"/>
    <w:rsid w:val="0022194B"/>
    <w:rsid w:val="00221DC1"/>
    <w:rsid w:val="002276F6"/>
    <w:rsid w:val="00227C6D"/>
    <w:rsid w:val="002400B6"/>
    <w:rsid w:val="00242E6C"/>
    <w:rsid w:val="00244A6D"/>
    <w:rsid w:val="00244EBF"/>
    <w:rsid w:val="0024518D"/>
    <w:rsid w:val="00251353"/>
    <w:rsid w:val="00252B27"/>
    <w:rsid w:val="00255C28"/>
    <w:rsid w:val="002601DE"/>
    <w:rsid w:val="00261AD6"/>
    <w:rsid w:val="00261FF8"/>
    <w:rsid w:val="00265579"/>
    <w:rsid w:val="00270B74"/>
    <w:rsid w:val="0027115C"/>
    <w:rsid w:val="00271FF6"/>
    <w:rsid w:val="00276A7E"/>
    <w:rsid w:val="00281C30"/>
    <w:rsid w:val="00290C2C"/>
    <w:rsid w:val="00291A8A"/>
    <w:rsid w:val="00291E03"/>
    <w:rsid w:val="00292387"/>
    <w:rsid w:val="002A6B32"/>
    <w:rsid w:val="002B17A6"/>
    <w:rsid w:val="002B4D02"/>
    <w:rsid w:val="002C1F62"/>
    <w:rsid w:val="002C3451"/>
    <w:rsid w:val="002D30BD"/>
    <w:rsid w:val="002D4962"/>
    <w:rsid w:val="002D6331"/>
    <w:rsid w:val="002D71FF"/>
    <w:rsid w:val="002E31D4"/>
    <w:rsid w:val="002E4F34"/>
    <w:rsid w:val="002E6148"/>
    <w:rsid w:val="002F0180"/>
    <w:rsid w:val="002F27E0"/>
    <w:rsid w:val="002F54AF"/>
    <w:rsid w:val="002F5936"/>
    <w:rsid w:val="002F5B6D"/>
    <w:rsid w:val="00301D3B"/>
    <w:rsid w:val="0030257A"/>
    <w:rsid w:val="00303EFA"/>
    <w:rsid w:val="0030409D"/>
    <w:rsid w:val="00306949"/>
    <w:rsid w:val="003202E1"/>
    <w:rsid w:val="003244DD"/>
    <w:rsid w:val="00330708"/>
    <w:rsid w:val="00332C82"/>
    <w:rsid w:val="003332B8"/>
    <w:rsid w:val="00334935"/>
    <w:rsid w:val="003413C1"/>
    <w:rsid w:val="00346A86"/>
    <w:rsid w:val="00355A30"/>
    <w:rsid w:val="003628A1"/>
    <w:rsid w:val="00362CDF"/>
    <w:rsid w:val="003646DC"/>
    <w:rsid w:val="003653D2"/>
    <w:rsid w:val="003729EE"/>
    <w:rsid w:val="00391424"/>
    <w:rsid w:val="003921EF"/>
    <w:rsid w:val="00392B76"/>
    <w:rsid w:val="003A5EEC"/>
    <w:rsid w:val="003B4A14"/>
    <w:rsid w:val="003C0CBD"/>
    <w:rsid w:val="003C1887"/>
    <w:rsid w:val="003C4230"/>
    <w:rsid w:val="003C6424"/>
    <w:rsid w:val="003C65A0"/>
    <w:rsid w:val="003C6B88"/>
    <w:rsid w:val="003C6E36"/>
    <w:rsid w:val="003D5A70"/>
    <w:rsid w:val="003D6A0F"/>
    <w:rsid w:val="003D6D76"/>
    <w:rsid w:val="003E1A78"/>
    <w:rsid w:val="003E2993"/>
    <w:rsid w:val="003E2C53"/>
    <w:rsid w:val="003E32DB"/>
    <w:rsid w:val="003E51BA"/>
    <w:rsid w:val="003E5742"/>
    <w:rsid w:val="003E764E"/>
    <w:rsid w:val="003F1467"/>
    <w:rsid w:val="003F2D98"/>
    <w:rsid w:val="003F572B"/>
    <w:rsid w:val="003F5BD3"/>
    <w:rsid w:val="003F6C0F"/>
    <w:rsid w:val="00416611"/>
    <w:rsid w:val="00416BCC"/>
    <w:rsid w:val="0042013C"/>
    <w:rsid w:val="004243C0"/>
    <w:rsid w:val="00424FA6"/>
    <w:rsid w:val="00433E48"/>
    <w:rsid w:val="0043762E"/>
    <w:rsid w:val="004406CA"/>
    <w:rsid w:val="004506A9"/>
    <w:rsid w:val="00450C44"/>
    <w:rsid w:val="004577E0"/>
    <w:rsid w:val="004601FD"/>
    <w:rsid w:val="00465AA9"/>
    <w:rsid w:val="00465B29"/>
    <w:rsid w:val="004700BE"/>
    <w:rsid w:val="0048143D"/>
    <w:rsid w:val="0048213B"/>
    <w:rsid w:val="0048541B"/>
    <w:rsid w:val="00485E2C"/>
    <w:rsid w:val="00492305"/>
    <w:rsid w:val="004957B5"/>
    <w:rsid w:val="004974BF"/>
    <w:rsid w:val="004A0B6F"/>
    <w:rsid w:val="004A5555"/>
    <w:rsid w:val="004A72D8"/>
    <w:rsid w:val="004B1A24"/>
    <w:rsid w:val="004B40E2"/>
    <w:rsid w:val="004B4415"/>
    <w:rsid w:val="004B6383"/>
    <w:rsid w:val="004C36C0"/>
    <w:rsid w:val="004C461E"/>
    <w:rsid w:val="004C46EA"/>
    <w:rsid w:val="004D29EA"/>
    <w:rsid w:val="004D63AF"/>
    <w:rsid w:val="004D6B68"/>
    <w:rsid w:val="004D787C"/>
    <w:rsid w:val="004D793A"/>
    <w:rsid w:val="004E01D2"/>
    <w:rsid w:val="004E2F19"/>
    <w:rsid w:val="004E76C2"/>
    <w:rsid w:val="004E79D7"/>
    <w:rsid w:val="004F2E6B"/>
    <w:rsid w:val="004F380B"/>
    <w:rsid w:val="004F4D17"/>
    <w:rsid w:val="004F6440"/>
    <w:rsid w:val="00504779"/>
    <w:rsid w:val="0050491F"/>
    <w:rsid w:val="00507444"/>
    <w:rsid w:val="00510337"/>
    <w:rsid w:val="00511670"/>
    <w:rsid w:val="00511E5D"/>
    <w:rsid w:val="00516CF7"/>
    <w:rsid w:val="00517661"/>
    <w:rsid w:val="00517AE4"/>
    <w:rsid w:val="0052080E"/>
    <w:rsid w:val="00520B45"/>
    <w:rsid w:val="00521EA4"/>
    <w:rsid w:val="00522FBD"/>
    <w:rsid w:val="00523E10"/>
    <w:rsid w:val="0053008D"/>
    <w:rsid w:val="0053049D"/>
    <w:rsid w:val="005321F2"/>
    <w:rsid w:val="00541665"/>
    <w:rsid w:val="005452F9"/>
    <w:rsid w:val="005467D0"/>
    <w:rsid w:val="005551D0"/>
    <w:rsid w:val="00555C15"/>
    <w:rsid w:val="0055646B"/>
    <w:rsid w:val="00563B8E"/>
    <w:rsid w:val="00564E1A"/>
    <w:rsid w:val="0057147D"/>
    <w:rsid w:val="005759CC"/>
    <w:rsid w:val="00586806"/>
    <w:rsid w:val="005A1A2D"/>
    <w:rsid w:val="005A1FBD"/>
    <w:rsid w:val="005A344A"/>
    <w:rsid w:val="005A5703"/>
    <w:rsid w:val="005A5ABF"/>
    <w:rsid w:val="005A6E20"/>
    <w:rsid w:val="005B0B41"/>
    <w:rsid w:val="005B22D3"/>
    <w:rsid w:val="005C1F6D"/>
    <w:rsid w:val="005D1C73"/>
    <w:rsid w:val="005D6F3F"/>
    <w:rsid w:val="005E3F1C"/>
    <w:rsid w:val="005E4FFB"/>
    <w:rsid w:val="005F260C"/>
    <w:rsid w:val="0060013F"/>
    <w:rsid w:val="00600292"/>
    <w:rsid w:val="006032E9"/>
    <w:rsid w:val="006036AD"/>
    <w:rsid w:val="006100A1"/>
    <w:rsid w:val="00610C4D"/>
    <w:rsid w:val="00614763"/>
    <w:rsid w:val="00617550"/>
    <w:rsid w:val="00630E23"/>
    <w:rsid w:val="00631290"/>
    <w:rsid w:val="00634AC0"/>
    <w:rsid w:val="00635D80"/>
    <w:rsid w:val="0064182E"/>
    <w:rsid w:val="006451EC"/>
    <w:rsid w:val="00651C05"/>
    <w:rsid w:val="006538EC"/>
    <w:rsid w:val="00653CE7"/>
    <w:rsid w:val="0065505B"/>
    <w:rsid w:val="00655BA7"/>
    <w:rsid w:val="006618BC"/>
    <w:rsid w:val="00663FC6"/>
    <w:rsid w:val="0066540D"/>
    <w:rsid w:val="0067062D"/>
    <w:rsid w:val="006764B3"/>
    <w:rsid w:val="00676B8A"/>
    <w:rsid w:val="00681513"/>
    <w:rsid w:val="00693F78"/>
    <w:rsid w:val="006957C4"/>
    <w:rsid w:val="006962F8"/>
    <w:rsid w:val="006A07A1"/>
    <w:rsid w:val="006A2F4A"/>
    <w:rsid w:val="006A4028"/>
    <w:rsid w:val="006A4B7D"/>
    <w:rsid w:val="006B3E9C"/>
    <w:rsid w:val="006B488E"/>
    <w:rsid w:val="006B4DD1"/>
    <w:rsid w:val="006B6D8A"/>
    <w:rsid w:val="006C0424"/>
    <w:rsid w:val="006C56C6"/>
    <w:rsid w:val="006C5907"/>
    <w:rsid w:val="006C6955"/>
    <w:rsid w:val="006C7EBB"/>
    <w:rsid w:val="006D3D23"/>
    <w:rsid w:val="006D63D6"/>
    <w:rsid w:val="006D7F5B"/>
    <w:rsid w:val="006E2C91"/>
    <w:rsid w:val="006E31D2"/>
    <w:rsid w:val="006E61B2"/>
    <w:rsid w:val="006F2D78"/>
    <w:rsid w:val="006F313A"/>
    <w:rsid w:val="006F5DBE"/>
    <w:rsid w:val="006F6EAD"/>
    <w:rsid w:val="00702C0F"/>
    <w:rsid w:val="00703633"/>
    <w:rsid w:val="00703A2C"/>
    <w:rsid w:val="007152BA"/>
    <w:rsid w:val="0072412A"/>
    <w:rsid w:val="00724934"/>
    <w:rsid w:val="00732486"/>
    <w:rsid w:val="00737A00"/>
    <w:rsid w:val="00741963"/>
    <w:rsid w:val="007458CB"/>
    <w:rsid w:val="007459FB"/>
    <w:rsid w:val="00745EBE"/>
    <w:rsid w:val="00746D43"/>
    <w:rsid w:val="007515F6"/>
    <w:rsid w:val="00753746"/>
    <w:rsid w:val="00755788"/>
    <w:rsid w:val="00757319"/>
    <w:rsid w:val="007616BF"/>
    <w:rsid w:val="0076476E"/>
    <w:rsid w:val="00764F68"/>
    <w:rsid w:val="00765989"/>
    <w:rsid w:val="00766616"/>
    <w:rsid w:val="0077129C"/>
    <w:rsid w:val="00775DDC"/>
    <w:rsid w:val="00776DDE"/>
    <w:rsid w:val="00780397"/>
    <w:rsid w:val="007863BC"/>
    <w:rsid w:val="00790E07"/>
    <w:rsid w:val="0079349D"/>
    <w:rsid w:val="007968CA"/>
    <w:rsid w:val="0079720B"/>
    <w:rsid w:val="00797902"/>
    <w:rsid w:val="007B473C"/>
    <w:rsid w:val="007B6DA3"/>
    <w:rsid w:val="007C12BC"/>
    <w:rsid w:val="007C1E73"/>
    <w:rsid w:val="007C391F"/>
    <w:rsid w:val="007C5EF7"/>
    <w:rsid w:val="007C645A"/>
    <w:rsid w:val="007C66DD"/>
    <w:rsid w:val="007C752B"/>
    <w:rsid w:val="007D16E5"/>
    <w:rsid w:val="007D2E36"/>
    <w:rsid w:val="007D6314"/>
    <w:rsid w:val="007D74E0"/>
    <w:rsid w:val="007E0F6B"/>
    <w:rsid w:val="007E1F20"/>
    <w:rsid w:val="007F2AF9"/>
    <w:rsid w:val="007F638B"/>
    <w:rsid w:val="007F721E"/>
    <w:rsid w:val="0081021E"/>
    <w:rsid w:val="00814CD9"/>
    <w:rsid w:val="00821231"/>
    <w:rsid w:val="008249A7"/>
    <w:rsid w:val="0083322E"/>
    <w:rsid w:val="00840223"/>
    <w:rsid w:val="00842962"/>
    <w:rsid w:val="00842DB6"/>
    <w:rsid w:val="00843A4B"/>
    <w:rsid w:val="0084672E"/>
    <w:rsid w:val="0084D09C"/>
    <w:rsid w:val="00865E70"/>
    <w:rsid w:val="00880A7F"/>
    <w:rsid w:val="008834CE"/>
    <w:rsid w:val="00884594"/>
    <w:rsid w:val="00884986"/>
    <w:rsid w:val="00890229"/>
    <w:rsid w:val="00894C61"/>
    <w:rsid w:val="008A5619"/>
    <w:rsid w:val="008A59AE"/>
    <w:rsid w:val="008B146D"/>
    <w:rsid w:val="008B39E4"/>
    <w:rsid w:val="008B4D10"/>
    <w:rsid w:val="008C6BA8"/>
    <w:rsid w:val="008C713B"/>
    <w:rsid w:val="008D0D2D"/>
    <w:rsid w:val="008D4BEF"/>
    <w:rsid w:val="008D551F"/>
    <w:rsid w:val="008E06B6"/>
    <w:rsid w:val="008E3522"/>
    <w:rsid w:val="008E6545"/>
    <w:rsid w:val="008F55B9"/>
    <w:rsid w:val="00901A74"/>
    <w:rsid w:val="00903C87"/>
    <w:rsid w:val="00905490"/>
    <w:rsid w:val="00906874"/>
    <w:rsid w:val="009213B3"/>
    <w:rsid w:val="0092555C"/>
    <w:rsid w:val="00927BA1"/>
    <w:rsid w:val="009378CD"/>
    <w:rsid w:val="009524D4"/>
    <w:rsid w:val="00954FFE"/>
    <w:rsid w:val="0096619C"/>
    <w:rsid w:val="009676B5"/>
    <w:rsid w:val="009706D8"/>
    <w:rsid w:val="009757DE"/>
    <w:rsid w:val="00975936"/>
    <w:rsid w:val="00975EBC"/>
    <w:rsid w:val="00982235"/>
    <w:rsid w:val="00982E0C"/>
    <w:rsid w:val="00986329"/>
    <w:rsid w:val="009900E2"/>
    <w:rsid w:val="00990480"/>
    <w:rsid w:val="00991228"/>
    <w:rsid w:val="00991FF0"/>
    <w:rsid w:val="009924F0"/>
    <w:rsid w:val="009A33DB"/>
    <w:rsid w:val="009A76DF"/>
    <w:rsid w:val="009B5BC4"/>
    <w:rsid w:val="009B5CBB"/>
    <w:rsid w:val="009C00D8"/>
    <w:rsid w:val="009C5279"/>
    <w:rsid w:val="009D5DC3"/>
    <w:rsid w:val="009D70DF"/>
    <w:rsid w:val="009D7E84"/>
    <w:rsid w:val="009E1407"/>
    <w:rsid w:val="009F2BF4"/>
    <w:rsid w:val="009F5914"/>
    <w:rsid w:val="00A01A4E"/>
    <w:rsid w:val="00A02E99"/>
    <w:rsid w:val="00A07A4C"/>
    <w:rsid w:val="00A15D3B"/>
    <w:rsid w:val="00A2656A"/>
    <w:rsid w:val="00A3436F"/>
    <w:rsid w:val="00A3516B"/>
    <w:rsid w:val="00A3590A"/>
    <w:rsid w:val="00A41BD9"/>
    <w:rsid w:val="00A41CA1"/>
    <w:rsid w:val="00A42B9C"/>
    <w:rsid w:val="00A45DA2"/>
    <w:rsid w:val="00A4629B"/>
    <w:rsid w:val="00A5048D"/>
    <w:rsid w:val="00A5701C"/>
    <w:rsid w:val="00A67B2D"/>
    <w:rsid w:val="00A70C0B"/>
    <w:rsid w:val="00A852AD"/>
    <w:rsid w:val="00A91704"/>
    <w:rsid w:val="00A936FF"/>
    <w:rsid w:val="00AB2FAE"/>
    <w:rsid w:val="00AB4187"/>
    <w:rsid w:val="00AB63F4"/>
    <w:rsid w:val="00AB79C5"/>
    <w:rsid w:val="00AC32F9"/>
    <w:rsid w:val="00AF0B07"/>
    <w:rsid w:val="00AF73B9"/>
    <w:rsid w:val="00B01136"/>
    <w:rsid w:val="00B0255D"/>
    <w:rsid w:val="00B11D06"/>
    <w:rsid w:val="00B13D55"/>
    <w:rsid w:val="00B16216"/>
    <w:rsid w:val="00B201A1"/>
    <w:rsid w:val="00B2204E"/>
    <w:rsid w:val="00B222E3"/>
    <w:rsid w:val="00B223ED"/>
    <w:rsid w:val="00B22FF7"/>
    <w:rsid w:val="00B32456"/>
    <w:rsid w:val="00B32769"/>
    <w:rsid w:val="00B51694"/>
    <w:rsid w:val="00B54FCC"/>
    <w:rsid w:val="00B56D4E"/>
    <w:rsid w:val="00B75A40"/>
    <w:rsid w:val="00B7689F"/>
    <w:rsid w:val="00B80B9E"/>
    <w:rsid w:val="00B831C3"/>
    <w:rsid w:val="00B84F87"/>
    <w:rsid w:val="00B912FD"/>
    <w:rsid w:val="00B937D5"/>
    <w:rsid w:val="00B95ADC"/>
    <w:rsid w:val="00BA57A8"/>
    <w:rsid w:val="00BA71E2"/>
    <w:rsid w:val="00BB0BF9"/>
    <w:rsid w:val="00BB1D55"/>
    <w:rsid w:val="00BB57CF"/>
    <w:rsid w:val="00BB7239"/>
    <w:rsid w:val="00BC0661"/>
    <w:rsid w:val="00BC77C9"/>
    <w:rsid w:val="00BD4ED2"/>
    <w:rsid w:val="00BD5A92"/>
    <w:rsid w:val="00BD5C8F"/>
    <w:rsid w:val="00BE3877"/>
    <w:rsid w:val="00BE5FA5"/>
    <w:rsid w:val="00BF065C"/>
    <w:rsid w:val="00BF0753"/>
    <w:rsid w:val="00BF27F3"/>
    <w:rsid w:val="00BF29CE"/>
    <w:rsid w:val="00BF3877"/>
    <w:rsid w:val="00BF4839"/>
    <w:rsid w:val="00BF4AC1"/>
    <w:rsid w:val="00BF5002"/>
    <w:rsid w:val="00C14EB9"/>
    <w:rsid w:val="00C17EAA"/>
    <w:rsid w:val="00C21F72"/>
    <w:rsid w:val="00C22709"/>
    <w:rsid w:val="00C252AB"/>
    <w:rsid w:val="00C25682"/>
    <w:rsid w:val="00C27573"/>
    <w:rsid w:val="00C32E7A"/>
    <w:rsid w:val="00C40748"/>
    <w:rsid w:val="00C440C8"/>
    <w:rsid w:val="00C4434E"/>
    <w:rsid w:val="00C5691C"/>
    <w:rsid w:val="00C56B7E"/>
    <w:rsid w:val="00C56FFC"/>
    <w:rsid w:val="00C62A75"/>
    <w:rsid w:val="00C64E8A"/>
    <w:rsid w:val="00C779D9"/>
    <w:rsid w:val="00C808E2"/>
    <w:rsid w:val="00C82103"/>
    <w:rsid w:val="00C863B2"/>
    <w:rsid w:val="00C86526"/>
    <w:rsid w:val="00C87897"/>
    <w:rsid w:val="00C94DCC"/>
    <w:rsid w:val="00C9524C"/>
    <w:rsid w:val="00C96237"/>
    <w:rsid w:val="00CA5B44"/>
    <w:rsid w:val="00CA7B0D"/>
    <w:rsid w:val="00CB019B"/>
    <w:rsid w:val="00CB281B"/>
    <w:rsid w:val="00CB547A"/>
    <w:rsid w:val="00CB698E"/>
    <w:rsid w:val="00CC0182"/>
    <w:rsid w:val="00CC03EA"/>
    <w:rsid w:val="00CC4782"/>
    <w:rsid w:val="00CC7826"/>
    <w:rsid w:val="00CF07F6"/>
    <w:rsid w:val="00CF4F17"/>
    <w:rsid w:val="00D00513"/>
    <w:rsid w:val="00D01C7C"/>
    <w:rsid w:val="00D028D7"/>
    <w:rsid w:val="00D078A5"/>
    <w:rsid w:val="00D20E4C"/>
    <w:rsid w:val="00D2270F"/>
    <w:rsid w:val="00D33414"/>
    <w:rsid w:val="00D335CA"/>
    <w:rsid w:val="00D33748"/>
    <w:rsid w:val="00D3704A"/>
    <w:rsid w:val="00D37820"/>
    <w:rsid w:val="00D418E3"/>
    <w:rsid w:val="00D45C67"/>
    <w:rsid w:val="00D45C7C"/>
    <w:rsid w:val="00D47988"/>
    <w:rsid w:val="00D51874"/>
    <w:rsid w:val="00D52745"/>
    <w:rsid w:val="00D543F6"/>
    <w:rsid w:val="00D55773"/>
    <w:rsid w:val="00D60B65"/>
    <w:rsid w:val="00D65027"/>
    <w:rsid w:val="00D7245D"/>
    <w:rsid w:val="00D72574"/>
    <w:rsid w:val="00D767C3"/>
    <w:rsid w:val="00D778BA"/>
    <w:rsid w:val="00D77BC9"/>
    <w:rsid w:val="00D86E74"/>
    <w:rsid w:val="00D9124F"/>
    <w:rsid w:val="00D95212"/>
    <w:rsid w:val="00D97CC3"/>
    <w:rsid w:val="00DA6216"/>
    <w:rsid w:val="00DA6F9C"/>
    <w:rsid w:val="00DA729D"/>
    <w:rsid w:val="00DB07CC"/>
    <w:rsid w:val="00DB1463"/>
    <w:rsid w:val="00DC089D"/>
    <w:rsid w:val="00DC2C8F"/>
    <w:rsid w:val="00DC3E7E"/>
    <w:rsid w:val="00DE042E"/>
    <w:rsid w:val="00DE7160"/>
    <w:rsid w:val="00DF0867"/>
    <w:rsid w:val="00DF2DD9"/>
    <w:rsid w:val="00DF4522"/>
    <w:rsid w:val="00DF74B9"/>
    <w:rsid w:val="00E005B6"/>
    <w:rsid w:val="00E00E97"/>
    <w:rsid w:val="00E01990"/>
    <w:rsid w:val="00E02B66"/>
    <w:rsid w:val="00E04F08"/>
    <w:rsid w:val="00E0613D"/>
    <w:rsid w:val="00E115EF"/>
    <w:rsid w:val="00E15AF6"/>
    <w:rsid w:val="00E16E28"/>
    <w:rsid w:val="00E24178"/>
    <w:rsid w:val="00E24810"/>
    <w:rsid w:val="00E27790"/>
    <w:rsid w:val="00E30A13"/>
    <w:rsid w:val="00E31616"/>
    <w:rsid w:val="00E346E5"/>
    <w:rsid w:val="00E3701B"/>
    <w:rsid w:val="00E37732"/>
    <w:rsid w:val="00E4150B"/>
    <w:rsid w:val="00E421DF"/>
    <w:rsid w:val="00E44716"/>
    <w:rsid w:val="00E45D6C"/>
    <w:rsid w:val="00E5364B"/>
    <w:rsid w:val="00E542B4"/>
    <w:rsid w:val="00E54B5C"/>
    <w:rsid w:val="00E54CDA"/>
    <w:rsid w:val="00E636E8"/>
    <w:rsid w:val="00E64AD1"/>
    <w:rsid w:val="00E745A6"/>
    <w:rsid w:val="00E75F02"/>
    <w:rsid w:val="00E75FB2"/>
    <w:rsid w:val="00E778FA"/>
    <w:rsid w:val="00E82856"/>
    <w:rsid w:val="00E8384A"/>
    <w:rsid w:val="00E87280"/>
    <w:rsid w:val="00E92836"/>
    <w:rsid w:val="00E93669"/>
    <w:rsid w:val="00E95172"/>
    <w:rsid w:val="00EA40D3"/>
    <w:rsid w:val="00EA4CF7"/>
    <w:rsid w:val="00EA7439"/>
    <w:rsid w:val="00EB6B98"/>
    <w:rsid w:val="00EB7A99"/>
    <w:rsid w:val="00ED46FC"/>
    <w:rsid w:val="00ED502E"/>
    <w:rsid w:val="00EE1673"/>
    <w:rsid w:val="00EF172A"/>
    <w:rsid w:val="00EF2A62"/>
    <w:rsid w:val="00EF4781"/>
    <w:rsid w:val="00EF5198"/>
    <w:rsid w:val="00EF5FD6"/>
    <w:rsid w:val="00F03033"/>
    <w:rsid w:val="00F05426"/>
    <w:rsid w:val="00F0607E"/>
    <w:rsid w:val="00F063AD"/>
    <w:rsid w:val="00F11E8A"/>
    <w:rsid w:val="00F1454B"/>
    <w:rsid w:val="00F155A1"/>
    <w:rsid w:val="00F16357"/>
    <w:rsid w:val="00F20F23"/>
    <w:rsid w:val="00F23DB0"/>
    <w:rsid w:val="00F24E4F"/>
    <w:rsid w:val="00F261D1"/>
    <w:rsid w:val="00F2680B"/>
    <w:rsid w:val="00F33F9E"/>
    <w:rsid w:val="00F41852"/>
    <w:rsid w:val="00F4435B"/>
    <w:rsid w:val="00F444FA"/>
    <w:rsid w:val="00F46386"/>
    <w:rsid w:val="00F46D9C"/>
    <w:rsid w:val="00F56936"/>
    <w:rsid w:val="00F625A6"/>
    <w:rsid w:val="00F634E4"/>
    <w:rsid w:val="00F64759"/>
    <w:rsid w:val="00F64794"/>
    <w:rsid w:val="00F75963"/>
    <w:rsid w:val="00F866FA"/>
    <w:rsid w:val="00F913AD"/>
    <w:rsid w:val="00F9201D"/>
    <w:rsid w:val="00F94D95"/>
    <w:rsid w:val="00F94EC2"/>
    <w:rsid w:val="00F9533C"/>
    <w:rsid w:val="00FA416D"/>
    <w:rsid w:val="00FB026E"/>
    <w:rsid w:val="00FB1445"/>
    <w:rsid w:val="00FB58B5"/>
    <w:rsid w:val="00FB6F05"/>
    <w:rsid w:val="00FC7A2F"/>
    <w:rsid w:val="00FD1DFE"/>
    <w:rsid w:val="00FD29A9"/>
    <w:rsid w:val="00FD3DA1"/>
    <w:rsid w:val="00FD4383"/>
    <w:rsid w:val="00FD79FB"/>
    <w:rsid w:val="00FE4034"/>
    <w:rsid w:val="00FE6FE6"/>
    <w:rsid w:val="00FF1162"/>
    <w:rsid w:val="00FF17AE"/>
    <w:rsid w:val="00FF4A60"/>
    <w:rsid w:val="01FBC5FE"/>
    <w:rsid w:val="0397965F"/>
    <w:rsid w:val="04BE3BF1"/>
    <w:rsid w:val="05ACBA2E"/>
    <w:rsid w:val="05F0DDE5"/>
    <w:rsid w:val="0611CD20"/>
    <w:rsid w:val="0795FB97"/>
    <w:rsid w:val="07B87470"/>
    <w:rsid w:val="085F5B56"/>
    <w:rsid w:val="0931CBF8"/>
    <w:rsid w:val="09D215DE"/>
    <w:rsid w:val="0A246B03"/>
    <w:rsid w:val="0B494175"/>
    <w:rsid w:val="0B62DBE8"/>
    <w:rsid w:val="0C5F8A27"/>
    <w:rsid w:val="0C942382"/>
    <w:rsid w:val="0D32CC79"/>
    <w:rsid w:val="0EC94005"/>
    <w:rsid w:val="0EF97C51"/>
    <w:rsid w:val="0FA49229"/>
    <w:rsid w:val="0FD30D87"/>
    <w:rsid w:val="10F27FAA"/>
    <w:rsid w:val="116F41F4"/>
    <w:rsid w:val="12063D9C"/>
    <w:rsid w:val="135BE919"/>
    <w:rsid w:val="139CB128"/>
    <w:rsid w:val="14BE1324"/>
    <w:rsid w:val="15B571C9"/>
    <w:rsid w:val="1B984E9E"/>
    <w:rsid w:val="1D02CB5F"/>
    <w:rsid w:val="202143C4"/>
    <w:rsid w:val="20887E8B"/>
    <w:rsid w:val="213A5AED"/>
    <w:rsid w:val="232EC584"/>
    <w:rsid w:val="23D77E1B"/>
    <w:rsid w:val="24469764"/>
    <w:rsid w:val="25AEA829"/>
    <w:rsid w:val="27B985B1"/>
    <w:rsid w:val="299AFABD"/>
    <w:rsid w:val="299F5F29"/>
    <w:rsid w:val="29C3417E"/>
    <w:rsid w:val="29C8260A"/>
    <w:rsid w:val="2C03819D"/>
    <w:rsid w:val="2DA57208"/>
    <w:rsid w:val="2E3451CE"/>
    <w:rsid w:val="2F1FF565"/>
    <w:rsid w:val="2F89E0A5"/>
    <w:rsid w:val="305B3E05"/>
    <w:rsid w:val="32C6FAE2"/>
    <w:rsid w:val="330EF4E8"/>
    <w:rsid w:val="333D4F80"/>
    <w:rsid w:val="33E77DEE"/>
    <w:rsid w:val="3462CB43"/>
    <w:rsid w:val="35695F3F"/>
    <w:rsid w:val="35C24470"/>
    <w:rsid w:val="368026F2"/>
    <w:rsid w:val="382D846F"/>
    <w:rsid w:val="388A13A8"/>
    <w:rsid w:val="38BAEF11"/>
    <w:rsid w:val="38FC8E04"/>
    <w:rsid w:val="3B377DFF"/>
    <w:rsid w:val="3B4903FE"/>
    <w:rsid w:val="3CBBEF92"/>
    <w:rsid w:val="3E52631E"/>
    <w:rsid w:val="3EFD707C"/>
    <w:rsid w:val="3FFCDFED"/>
    <w:rsid w:val="4004FC57"/>
    <w:rsid w:val="400AEF22"/>
    <w:rsid w:val="4244BECE"/>
    <w:rsid w:val="43624FC0"/>
    <w:rsid w:val="48690C40"/>
    <w:rsid w:val="4B9CFC74"/>
    <w:rsid w:val="4D09DCF7"/>
    <w:rsid w:val="4E3122FE"/>
    <w:rsid w:val="4E68C03A"/>
    <w:rsid w:val="4F648CD4"/>
    <w:rsid w:val="4FAA66DD"/>
    <w:rsid w:val="51D656D2"/>
    <w:rsid w:val="53301A09"/>
    <w:rsid w:val="54A62555"/>
    <w:rsid w:val="5738705D"/>
    <w:rsid w:val="576AEF06"/>
    <w:rsid w:val="58119FC7"/>
    <w:rsid w:val="5C8D3F5C"/>
    <w:rsid w:val="5D45183E"/>
    <w:rsid w:val="5D86C6FC"/>
    <w:rsid w:val="5DB3290E"/>
    <w:rsid w:val="5F3CD19F"/>
    <w:rsid w:val="5F77B078"/>
    <w:rsid w:val="5F81DB76"/>
    <w:rsid w:val="5FEBC233"/>
    <w:rsid w:val="6009403C"/>
    <w:rsid w:val="60390045"/>
    <w:rsid w:val="6042A12A"/>
    <w:rsid w:val="60F774D5"/>
    <w:rsid w:val="61B79897"/>
    <w:rsid w:val="639648BE"/>
    <w:rsid w:val="63C442DA"/>
    <w:rsid w:val="64F822C9"/>
    <w:rsid w:val="656AA482"/>
    <w:rsid w:val="6643B036"/>
    <w:rsid w:val="6B38F99E"/>
    <w:rsid w:val="6C4512AB"/>
    <w:rsid w:val="6DC7BAAF"/>
    <w:rsid w:val="6F40E40E"/>
    <w:rsid w:val="7116BA3F"/>
    <w:rsid w:val="7122C5FD"/>
    <w:rsid w:val="724D1968"/>
    <w:rsid w:val="7492C23C"/>
    <w:rsid w:val="75CE1D62"/>
    <w:rsid w:val="7675C36B"/>
    <w:rsid w:val="7968320A"/>
    <w:rsid w:val="7A849726"/>
    <w:rsid w:val="7B2254CC"/>
    <w:rsid w:val="7EC4253B"/>
    <w:rsid w:val="7F5B29A8"/>
    <w:rsid w:val="7F787A0D"/>
    <w:rsid w:val="7F819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22C17"/>
  <w15:docId w15:val="{C78D65A0-BBB5-4622-991D-6027B261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00D8"/>
    <w:pPr>
      <w:widowControl w:val="0"/>
      <w:spacing w:line="280" w:lineRule="atLeast"/>
    </w:pPr>
    <w:rPr>
      <w:rFonts w:ascii="Calibri" w:hAnsi="Calibri"/>
      <w:snapToGrid w:val="0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75EEB"/>
    <w:pPr>
      <w:keepNext/>
      <w:numPr>
        <w:numId w:val="3"/>
      </w:numPr>
      <w:spacing w:after="280"/>
      <w:ind w:left="709" w:hanging="709"/>
      <w:outlineLvl w:val="0"/>
    </w:pPr>
    <w:rPr>
      <w:b/>
      <w:bCs/>
      <w:noProof/>
      <w:color w:val="000000" w:themeColor="text1"/>
      <w:sz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175EEB"/>
    <w:pPr>
      <w:keepNext/>
      <w:keepLines/>
      <w:numPr>
        <w:ilvl w:val="1"/>
        <w:numId w:val="3"/>
      </w:numPr>
      <w:ind w:hanging="7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75EEB"/>
    <w:pPr>
      <w:keepNext/>
      <w:keepLines/>
      <w:numPr>
        <w:ilvl w:val="2"/>
        <w:numId w:val="3"/>
      </w:numPr>
      <w:ind w:left="709" w:hanging="709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4D29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75EEB"/>
    <w:rPr>
      <w:rFonts w:ascii="Calibri" w:hAnsi="Calibri"/>
      <w:b/>
      <w:bCs/>
      <w:noProof/>
      <w:snapToGrid w:val="0"/>
      <w:color w:val="000000" w:themeColor="text1"/>
      <w:sz w:val="40"/>
      <w:lang w:val="nl-NL" w:eastAsia="nl-NL"/>
    </w:rPr>
  </w:style>
  <w:style w:type="paragraph" w:styleId="Lijstalinea">
    <w:name w:val="List Paragraph"/>
    <w:aliases w:val="_EDSN_agendapunt"/>
    <w:basedOn w:val="Standaard"/>
    <w:link w:val="LijstalineaChar"/>
    <w:uiPriority w:val="34"/>
    <w:qFormat/>
    <w:rsid w:val="002D7A9B"/>
    <w:pPr>
      <w:ind w:left="708"/>
    </w:pPr>
  </w:style>
  <w:style w:type="paragraph" w:styleId="Koptekst">
    <w:name w:val="header"/>
    <w:basedOn w:val="Standaard"/>
    <w:link w:val="KoptekstChar"/>
    <w:uiPriority w:val="99"/>
    <w:unhideWhenUsed/>
    <w:rsid w:val="000C1E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1E6C"/>
    <w:rPr>
      <w:rFonts w:ascii="Calibri" w:hAnsi="Calibri"/>
      <w:snapToGrid w:val="0"/>
      <w:sz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8104AF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8104AF"/>
    <w:rPr>
      <w:rFonts w:ascii="Calibri" w:hAnsi="Calibri"/>
      <w:snapToGrid w:val="0"/>
      <w:sz w:val="13"/>
      <w:lang w:val="nl-NL" w:eastAsia="nl-NL"/>
    </w:rPr>
  </w:style>
  <w:style w:type="paragraph" w:customStyle="1" w:styleId="Rubricering">
    <w:name w:val="Rubricering"/>
    <w:basedOn w:val="Standaard"/>
    <w:qFormat/>
    <w:rsid w:val="000C1E6C"/>
    <w:pPr>
      <w:spacing w:line="250" w:lineRule="atLeast"/>
    </w:pPr>
    <w:rPr>
      <w:rFonts w:ascii="Arial" w:hAnsi="Arial"/>
      <w:b/>
      <w:sz w:val="18"/>
    </w:rPr>
  </w:style>
  <w:style w:type="table" w:styleId="Tabelraster">
    <w:name w:val="Table Grid"/>
    <w:basedOn w:val="Standaardtabel"/>
    <w:rsid w:val="000C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kop">
    <w:name w:val="Colofonkop"/>
    <w:basedOn w:val="Standaard"/>
    <w:qFormat/>
    <w:rsid w:val="007A50D8"/>
    <w:rPr>
      <w:b/>
    </w:rPr>
  </w:style>
  <w:style w:type="paragraph" w:customStyle="1" w:styleId="Colofoninvulling">
    <w:name w:val="Colofon invulling"/>
    <w:basedOn w:val="Standaard"/>
    <w:qFormat/>
    <w:rsid w:val="007A50D8"/>
  </w:style>
  <w:style w:type="paragraph" w:customStyle="1" w:styleId="Adres">
    <w:name w:val="Adres"/>
    <w:basedOn w:val="Standaard"/>
    <w:qFormat/>
    <w:rsid w:val="000C1E6C"/>
    <w:rPr>
      <w:b/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2D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2D8A"/>
    <w:rPr>
      <w:rFonts w:ascii="Tahoma" w:hAnsi="Tahoma" w:cs="Tahoma"/>
      <w:snapToGrid w:val="0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104AF"/>
    <w:rPr>
      <w:color w:val="0000FF" w:themeColor="hyperlink"/>
      <w:u w:val="single"/>
      <w:lang w:val="nl-NL"/>
    </w:rPr>
  </w:style>
  <w:style w:type="paragraph" w:styleId="Titel">
    <w:name w:val="Title"/>
    <w:basedOn w:val="Standaard"/>
    <w:next w:val="Standaard"/>
    <w:link w:val="TitelChar"/>
    <w:qFormat/>
    <w:rsid w:val="00177A61"/>
    <w:pPr>
      <w:spacing w:after="300" w:line="240" w:lineRule="auto"/>
      <w:contextualSpacing/>
    </w:pPr>
    <w:rPr>
      <w:rFonts w:asciiTheme="minorHAnsi" w:eastAsiaTheme="majorEastAsia" w:hAnsiTheme="minorHAnsi" w:cstheme="majorBidi"/>
      <w:b/>
      <w:color w:val="000000" w:themeColor="text1"/>
      <w:spacing w:val="5"/>
      <w:kern w:val="28"/>
      <w:sz w:val="90"/>
      <w:szCs w:val="52"/>
    </w:rPr>
  </w:style>
  <w:style w:type="character" w:customStyle="1" w:styleId="TitelChar">
    <w:name w:val="Titel Char"/>
    <w:basedOn w:val="Standaardalinea-lettertype"/>
    <w:link w:val="Titel"/>
    <w:rsid w:val="00177A61"/>
    <w:rPr>
      <w:rFonts w:asciiTheme="minorHAnsi" w:eastAsiaTheme="majorEastAsia" w:hAnsiTheme="minorHAnsi" w:cstheme="majorBidi"/>
      <w:b/>
      <w:snapToGrid w:val="0"/>
      <w:color w:val="000000" w:themeColor="text1"/>
      <w:spacing w:val="5"/>
      <w:kern w:val="28"/>
      <w:sz w:val="90"/>
      <w:szCs w:val="52"/>
      <w:lang w:val="nl-NL" w:eastAsia="nl-NL"/>
    </w:rPr>
  </w:style>
  <w:style w:type="paragraph" w:customStyle="1" w:styleId="Subtitel">
    <w:name w:val="Subtitel"/>
    <w:basedOn w:val="Adres"/>
    <w:qFormat/>
    <w:rsid w:val="00051FF0"/>
    <w:rPr>
      <w:sz w:val="40"/>
    </w:rPr>
  </w:style>
  <w:style w:type="paragraph" w:customStyle="1" w:styleId="Documenttitel">
    <w:name w:val="Documenttitel"/>
    <w:basedOn w:val="Colofonkop"/>
    <w:qFormat/>
    <w:rsid w:val="007A50D8"/>
    <w:rPr>
      <w:sz w:val="30"/>
    </w:rPr>
  </w:style>
  <w:style w:type="paragraph" w:customStyle="1" w:styleId="Inhoudsopgave">
    <w:name w:val="Inhoudsopgave"/>
    <w:basedOn w:val="Standaard"/>
    <w:next w:val="Standaard"/>
    <w:qFormat/>
    <w:rsid w:val="007D6CDA"/>
    <w:rPr>
      <w:b/>
      <w:noProof/>
      <w:sz w:val="40"/>
    </w:rPr>
  </w:style>
  <w:style w:type="character" w:customStyle="1" w:styleId="Kop2Char">
    <w:name w:val="Kop 2 Char"/>
    <w:basedOn w:val="Standaardalinea-lettertype"/>
    <w:link w:val="Kop2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lang w:val="nl-NL" w:eastAsia="nl-NL"/>
    </w:rPr>
  </w:style>
  <w:style w:type="paragraph" w:customStyle="1" w:styleId="Tabelkop">
    <w:name w:val="Tabelkop"/>
    <w:basedOn w:val="Standaard"/>
    <w:qFormat/>
    <w:rsid w:val="002076C6"/>
    <w:rPr>
      <w:b/>
      <w:sz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spacing w:before="240"/>
      <w:ind w:left="1134" w:hanging="1134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customStyle="1" w:styleId="Tabeltekst">
    <w:name w:val="Tabeltekst"/>
    <w:basedOn w:val="Standaard"/>
    <w:qFormat/>
    <w:rsid w:val="002076C6"/>
    <w:rPr>
      <w:sz w:val="16"/>
    </w:rPr>
  </w:style>
  <w:style w:type="paragraph" w:customStyle="1" w:styleId="wwostylekop1">
    <w:name w:val="wwo_style_kop1"/>
    <w:basedOn w:val="Kop1"/>
    <w:next w:val="Standaard"/>
    <w:qFormat/>
    <w:rsid w:val="00175EEB"/>
  </w:style>
  <w:style w:type="paragraph" w:customStyle="1" w:styleId="wwostylekop2">
    <w:name w:val="wwo_style_kop2"/>
    <w:basedOn w:val="Kop2"/>
    <w:next w:val="Standaard"/>
    <w:qFormat/>
    <w:rsid w:val="00175EEB"/>
  </w:style>
  <w:style w:type="paragraph" w:customStyle="1" w:styleId="wwostylekop3">
    <w:name w:val="wwo_style_kop3"/>
    <w:basedOn w:val="Kop3"/>
    <w:next w:val="Standaard"/>
    <w:qFormat/>
    <w:rsid w:val="00175EEB"/>
  </w:style>
  <w:style w:type="paragraph" w:customStyle="1" w:styleId="wwostyletabelkop">
    <w:name w:val="wwo_style_tabelkop"/>
    <w:basedOn w:val="Tabelkop"/>
    <w:qFormat/>
    <w:rsid w:val="00175EEB"/>
  </w:style>
  <w:style w:type="paragraph" w:customStyle="1" w:styleId="wwostyletabeltekst">
    <w:name w:val="wwo_style_tabeltekst"/>
    <w:basedOn w:val="Tabeltekst"/>
    <w:qFormat/>
    <w:rsid w:val="00175EEB"/>
  </w:style>
  <w:style w:type="paragraph" w:customStyle="1" w:styleId="EDSNKop">
    <w:name w:val="EDSN Kop"/>
    <w:basedOn w:val="Standaard"/>
    <w:rsid w:val="00693F78"/>
    <w:pPr>
      <w:widowControl/>
      <w:suppressAutoHyphens/>
      <w:spacing w:after="400" w:line="460" w:lineRule="exact"/>
    </w:pPr>
    <w:rPr>
      <w:rFonts w:ascii="Verdana" w:hAnsi="Verdana"/>
      <w:snapToGrid/>
      <w:sz w:val="32"/>
      <w:lang w:eastAsia="ar-SA"/>
    </w:rPr>
  </w:style>
  <w:style w:type="paragraph" w:customStyle="1" w:styleId="Default">
    <w:name w:val="Default"/>
    <w:rsid w:val="00635D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jstalineaChar">
    <w:name w:val="Lijstalinea Char"/>
    <w:aliases w:val="_EDSN_agendapunt Char"/>
    <w:basedOn w:val="Standaardalinea-lettertype"/>
    <w:link w:val="Lijstalinea"/>
    <w:uiPriority w:val="34"/>
    <w:qFormat/>
    <w:rsid w:val="00732486"/>
    <w:rPr>
      <w:rFonts w:ascii="Calibri" w:hAnsi="Calibri"/>
      <w:snapToGrid w:val="0"/>
      <w:sz w:val="22"/>
      <w:lang w:eastAsia="nl-NL"/>
    </w:rPr>
  </w:style>
  <w:style w:type="paragraph" w:styleId="Voetnoottekst">
    <w:name w:val="footnote text"/>
    <w:basedOn w:val="Standaard"/>
    <w:link w:val="VoetnoottekstChar"/>
    <w:uiPriority w:val="99"/>
    <w:unhideWhenUsed/>
    <w:rsid w:val="00541665"/>
    <w:pPr>
      <w:spacing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541665"/>
    <w:rPr>
      <w:rFonts w:ascii="Calibri" w:hAnsi="Calibri"/>
      <w:snapToGrid w:val="0"/>
      <w:lang w:eastAsia="nl-NL"/>
    </w:rPr>
  </w:style>
  <w:style w:type="character" w:styleId="Voetnootmarkering">
    <w:name w:val="footnote reference"/>
    <w:basedOn w:val="Standaardalinea-lettertype"/>
    <w:uiPriority w:val="99"/>
    <w:unhideWhenUsed/>
    <w:rsid w:val="00541665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07F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07F6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07F6"/>
    <w:rPr>
      <w:rFonts w:ascii="Calibri" w:hAnsi="Calibri"/>
      <w:snapToGrid w:val="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07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07F6"/>
    <w:rPr>
      <w:rFonts w:ascii="Calibri" w:hAnsi="Calibri"/>
      <w:b/>
      <w:bCs/>
      <w:snapToGrid w:val="0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16216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semiHidden/>
    <w:rsid w:val="004D29EA"/>
    <w:rPr>
      <w:rFonts w:asciiTheme="majorHAnsi" w:eastAsiaTheme="majorEastAsia" w:hAnsiTheme="majorHAnsi" w:cstheme="majorBidi"/>
      <w:i/>
      <w:iCs/>
      <w:snapToGrid w:val="0"/>
      <w:color w:val="365F91" w:themeColor="accent1" w:themeShade="BF"/>
      <w:sz w:val="22"/>
      <w:lang w:eastAsia="nl-NL"/>
    </w:rPr>
  </w:style>
  <w:style w:type="paragraph" w:styleId="Revisie">
    <w:name w:val="Revision"/>
    <w:hidden/>
    <w:uiPriority w:val="99"/>
    <w:semiHidden/>
    <w:rsid w:val="00B13D55"/>
    <w:rPr>
      <w:rFonts w:ascii="Calibri" w:hAnsi="Calibri"/>
      <w:snapToGrid w:val="0"/>
      <w:sz w:val="22"/>
      <w:lang w:eastAsia="nl-NL"/>
    </w:rPr>
  </w:style>
  <w:style w:type="paragraph" w:customStyle="1" w:styleId="paragraph">
    <w:name w:val="paragraph"/>
    <w:basedOn w:val="Standaard"/>
    <w:rsid w:val="00B84F87"/>
    <w:pPr>
      <w:widowControl/>
      <w:spacing w:before="100" w:beforeAutospacing="1" w:after="100" w:afterAutospacing="1" w:line="240" w:lineRule="auto"/>
    </w:pPr>
    <w:rPr>
      <w:rFonts w:ascii="Times New Roman" w:hAnsi="Times New Roman"/>
      <w:snapToGrid/>
      <w:sz w:val="24"/>
      <w:szCs w:val="24"/>
    </w:rPr>
  </w:style>
  <w:style w:type="character" w:customStyle="1" w:styleId="normaltextrun">
    <w:name w:val="normaltextrun"/>
    <w:basedOn w:val="Standaardalinea-lettertype"/>
    <w:rsid w:val="00B84F87"/>
  </w:style>
  <w:style w:type="character" w:customStyle="1" w:styleId="eop">
    <w:name w:val="eop"/>
    <w:basedOn w:val="Standaardalinea-lettertype"/>
    <w:rsid w:val="00B84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91830ED340E4FB1005DCFC6E51CF5" ma:contentTypeVersion="8" ma:contentTypeDescription="Create a new document." ma:contentTypeScope="" ma:versionID="20e45eb30155907ae8b541c16a487d53">
  <xsd:schema xmlns:xsd="http://www.w3.org/2001/XMLSchema" xmlns:xs="http://www.w3.org/2001/XMLSchema" xmlns:p="http://schemas.microsoft.com/office/2006/metadata/properties" xmlns:ns2="28a68a4d-228e-49b4-bd64-f059bd770b71" targetNamespace="http://schemas.microsoft.com/office/2006/metadata/properties" ma:root="true" ma:fieldsID="da28dd4b467116d3e52260c584ebd2de" ns2:_="">
    <xsd:import namespace="28a68a4d-228e-49b4-bd64-f059bd770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8a4d-228e-49b4-bd64-f059bd770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5BE09-05E7-486D-8625-807CED9BE0D4}">
  <ds:schemaRefs>
    <ds:schemaRef ds:uri="http://schemas.microsoft.com/office/2006/metadata/properties"/>
    <ds:schemaRef ds:uri="http://schemas.microsoft.com/office/infopath/2007/PartnerControls"/>
    <ds:schemaRef ds:uri="5f374908-5936-441c-a640-6ee52fa1ffbe"/>
    <ds:schemaRef ds:uri="660477a7-6256-481e-960c-267af7490603"/>
  </ds:schemaRefs>
</ds:datastoreItem>
</file>

<file path=customXml/itemProps2.xml><?xml version="1.0" encoding="utf-8"?>
<ds:datastoreItem xmlns:ds="http://schemas.openxmlformats.org/officeDocument/2006/customXml" ds:itemID="{C449C598-EA65-44FF-9967-B843433B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E40546-D66B-42C3-9504-EC84D3D955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FC412C-D5B3-4213-B6C3-4B198A4F1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3425</Characters>
  <Application>Microsoft Office Word</Application>
  <DocSecurity>0</DocSecurity>
  <Lines>28</Lines>
  <Paragraphs>8</Paragraphs>
  <ScaleCrop>false</ScaleCrop>
  <Company>TenneT TSO B.V.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van der Horst</dc:creator>
  <cp:keywords/>
  <cp:lastModifiedBy>Lisa Sulkers | MFF BAS</cp:lastModifiedBy>
  <cp:revision>4</cp:revision>
  <cp:lastPrinted>2014-06-30T14:14:00Z</cp:lastPrinted>
  <dcterms:created xsi:type="dcterms:W3CDTF">2022-10-31T15:16:00Z</dcterms:created>
  <dcterms:modified xsi:type="dcterms:W3CDTF">2022-10-31T15:17:00Z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0x010100C0C91830ED340E4FB1005DCFC6E51CF5</vt:lpwstr>
  </property>
  <property fmtid="{D5CDD505-2E9C-101B-9397-08002B2CF9AE}" pid="3" name="MSIP_Label_89999a2b-9a21-4e6e-bf76-863fcb82bc91_Enabled">
    <vt:lpwstr>true</vt:lpwstr>
  </property>
  <property fmtid="{D5CDD505-2E9C-101B-9397-08002B2CF9AE}" pid="4" name="MSIP_Label_89999a2b-9a21-4e6e-bf76-863fcb82bc91_SetDate">
    <vt:lpwstr>2022-02-24T19:45:14Z</vt:lpwstr>
  </property>
  <property fmtid="{D5CDD505-2E9C-101B-9397-08002B2CF9AE}" pid="5" name="MSIP_Label_89999a2b-9a21-4e6e-bf76-863fcb82bc91_Method">
    <vt:lpwstr>Standard</vt:lpwstr>
  </property>
  <property fmtid="{D5CDD505-2E9C-101B-9397-08002B2CF9AE}" pid="6" name="MSIP_Label_89999a2b-9a21-4e6e-bf76-863fcb82bc91_Name">
    <vt:lpwstr>Intern</vt:lpwstr>
  </property>
  <property fmtid="{D5CDD505-2E9C-101B-9397-08002B2CF9AE}" pid="7" name="MSIP_Label_89999a2b-9a21-4e6e-bf76-863fcb82bc91_SiteId">
    <vt:lpwstr>40ce6286-0e4a-4500-8bb1-bf46447c5f7f</vt:lpwstr>
  </property>
  <property fmtid="{D5CDD505-2E9C-101B-9397-08002B2CF9AE}" pid="8" name="MSIP_Label_89999a2b-9a21-4e6e-bf76-863fcb82bc91_ActionId">
    <vt:lpwstr>58d5f8f2-fa08-4e0c-95b0-1970ebaacf1c</vt:lpwstr>
  </property>
  <property fmtid="{D5CDD505-2E9C-101B-9397-08002B2CF9AE}" pid="9" name="MSIP_Label_89999a2b-9a21-4e6e-bf76-863fcb82bc91_ContentBits">
    <vt:lpwstr>0</vt:lpwstr>
  </property>
  <property fmtid="{D5CDD505-2E9C-101B-9397-08002B2CF9AE}" pid="10" name="StdDataClassificatie">
    <vt:lpwstr>Intern</vt:lpwstr>
  </property>
  <property fmtid="{D5CDD505-2E9C-101B-9397-08002B2CF9AE}" pid="11" name="StdDataClassificatieDoelgroep">
    <vt:lpwstr/>
  </property>
  <property fmtid="{D5CDD505-2E9C-101B-9397-08002B2CF9AE}" pid="12" name="MediaServiceImageTags">
    <vt:lpwstr/>
  </property>
</Properties>
</file>