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078F6" w14:textId="6773E7EF" w:rsidR="00693F78" w:rsidRPr="00B632BB" w:rsidRDefault="00BC5C13" w:rsidP="00693F78">
      <w:pPr>
        <w:pStyle w:val="EDSNKop"/>
        <w:outlineLvl w:val="0"/>
      </w:pPr>
      <w:r w:rsidRPr="00B632BB">
        <w:t>TR2021.</w:t>
      </w:r>
      <w:r w:rsidR="002949F7">
        <w:t>5</w:t>
      </w:r>
      <w:r w:rsidRPr="00B632BB">
        <w:t xml:space="preserve"> </w:t>
      </w:r>
      <w:r w:rsidR="00075489">
        <w:t xml:space="preserve">Technische </w:t>
      </w:r>
      <w:proofErr w:type="spellStart"/>
      <w:r w:rsidR="00075489">
        <w:t>validaties</w:t>
      </w:r>
      <w:proofErr w:type="spellEnd"/>
      <w:r w:rsidR="00075489">
        <w:t xml:space="preserve"> Allocatie 2.0 berichtenverkeer</w:t>
      </w:r>
    </w:p>
    <w:p w14:paraId="791D5F3D" w14:textId="690BE439" w:rsidR="00693F78" w:rsidRPr="00B632BB" w:rsidRDefault="00693F78" w:rsidP="00693F78">
      <w:pPr>
        <w:tabs>
          <w:tab w:val="right" w:pos="9072"/>
        </w:tabs>
        <w:rPr>
          <w:sz w:val="36"/>
          <w:szCs w:val="36"/>
        </w:rPr>
      </w:pPr>
      <w:proofErr w:type="spellStart"/>
      <w:r w:rsidRPr="00B632BB">
        <w:rPr>
          <w:sz w:val="36"/>
          <w:szCs w:val="36"/>
        </w:rPr>
        <w:t>Request</w:t>
      </w:r>
      <w:proofErr w:type="spellEnd"/>
      <w:r w:rsidRPr="00B632BB">
        <w:rPr>
          <w:sz w:val="36"/>
          <w:szCs w:val="36"/>
        </w:rPr>
        <w:t xml:space="preserve"> For Change</w:t>
      </w:r>
      <w:r w:rsidR="000A3693" w:rsidRPr="00B632BB">
        <w:rPr>
          <w:sz w:val="36"/>
          <w:szCs w:val="36"/>
        </w:rPr>
        <w:t xml:space="preserve"> v</w:t>
      </w:r>
      <w:r w:rsidR="002F17F6">
        <w:rPr>
          <w:sz w:val="36"/>
          <w:szCs w:val="36"/>
        </w:rPr>
        <w:t>1.0</w:t>
      </w:r>
    </w:p>
    <w:p w14:paraId="76DB9A3F" w14:textId="77777777" w:rsidR="00693F78" w:rsidRPr="00B632BB" w:rsidRDefault="00693F78" w:rsidP="00693F78">
      <w:pPr>
        <w:tabs>
          <w:tab w:val="right" w:pos="9072"/>
        </w:tabs>
        <w:rPr>
          <w:szCs w:val="18"/>
        </w:rPr>
      </w:pPr>
    </w:p>
    <w:p w14:paraId="61B96316" w14:textId="19613A0C" w:rsidR="00693F78" w:rsidRPr="00B632BB" w:rsidRDefault="00693F78" w:rsidP="00693F78">
      <w:pPr>
        <w:outlineLvl w:val="0"/>
        <w:rPr>
          <w:szCs w:val="18"/>
        </w:rPr>
      </w:pPr>
      <w:r w:rsidRPr="00B632BB">
        <w:rPr>
          <w:szCs w:val="18"/>
        </w:rPr>
        <w:t xml:space="preserve">Invulling door indiener: </w:t>
      </w:r>
      <w:proofErr w:type="spellStart"/>
      <w:r w:rsidR="00BA6C2C">
        <w:rPr>
          <w:szCs w:val="18"/>
        </w:rPr>
        <w:t>G.Berkhoff</w:t>
      </w:r>
      <w:proofErr w:type="spellEnd"/>
      <w:r w:rsidR="00BA6C2C">
        <w:rPr>
          <w:szCs w:val="18"/>
        </w:rPr>
        <w:t xml:space="preserve"> e.a.</w:t>
      </w:r>
    </w:p>
    <w:p w14:paraId="201B3B1B" w14:textId="77777777" w:rsidR="00693F78" w:rsidRPr="00B632BB" w:rsidRDefault="00693F78" w:rsidP="00693F78">
      <w:pPr>
        <w:rPr>
          <w:szCs w:val="18"/>
        </w:rPr>
      </w:pPr>
    </w:p>
    <w:p w14:paraId="4FB734CD" w14:textId="77777777" w:rsidR="00693F78" w:rsidRPr="00B632BB" w:rsidRDefault="00693F78" w:rsidP="00693F78">
      <w:pPr>
        <w:outlineLvl w:val="0"/>
        <w:rPr>
          <w:i/>
          <w:szCs w:val="18"/>
        </w:rPr>
      </w:pPr>
      <w:r w:rsidRPr="00B632BB">
        <w:rPr>
          <w:i/>
          <w:szCs w:val="18"/>
        </w:rPr>
        <w:t>Contact gegevens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3572"/>
        <w:gridCol w:w="1701"/>
        <w:gridCol w:w="2523"/>
      </w:tblGrid>
      <w:tr w:rsidR="00693F78" w:rsidRPr="00B632BB" w14:paraId="6EC9A865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2718CF1" w14:textId="77777777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Referentienummer</w:t>
            </w:r>
          </w:p>
          <w:p w14:paraId="1938C5AE" w14:textId="77777777" w:rsidR="00693F78" w:rsidRPr="00B632BB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6CAB" w14:textId="1BEB1854" w:rsidR="00693F78" w:rsidRPr="00B632BB" w:rsidRDefault="00BC5C13" w:rsidP="001C393F">
            <w:pPr>
              <w:snapToGrid w:val="0"/>
              <w:ind w:right="-675"/>
              <w:rPr>
                <w:szCs w:val="18"/>
              </w:rPr>
            </w:pPr>
            <w:r w:rsidRPr="00B632BB">
              <w:rPr>
                <w:szCs w:val="18"/>
              </w:rPr>
              <w:t>TR2021.</w:t>
            </w:r>
            <w:r w:rsidR="0038313E">
              <w:rPr>
                <w:szCs w:val="18"/>
              </w:rPr>
              <w:t>5</w:t>
            </w:r>
          </w:p>
        </w:tc>
      </w:tr>
      <w:tr w:rsidR="00693F78" w:rsidRPr="00B632BB" w14:paraId="7320A8AE" w14:textId="77777777" w:rsidTr="00BE7612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94E2772" w14:textId="77777777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Naam (werkgroep)</w:t>
            </w:r>
          </w:p>
          <w:p w14:paraId="564C2AE3" w14:textId="77777777" w:rsidR="00693F78" w:rsidRPr="00B632BB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62493" w14:textId="74C94D8C" w:rsidR="00693F78" w:rsidRPr="00B632BB" w:rsidRDefault="00B218CD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Zie hieronder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385FAA3" w14:textId="77777777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Telefoon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13E3" w14:textId="73ED7225" w:rsidR="00693F78" w:rsidRPr="00B632BB" w:rsidRDefault="00DA6BBD" w:rsidP="001C393F">
            <w:pPr>
              <w:snapToGrid w:val="0"/>
              <w:rPr>
                <w:szCs w:val="18"/>
              </w:rPr>
            </w:pPr>
            <w:r w:rsidRPr="00B632BB">
              <w:rPr>
                <w:szCs w:val="18"/>
              </w:rPr>
              <w:t>06 526 555 99</w:t>
            </w:r>
          </w:p>
        </w:tc>
      </w:tr>
      <w:tr w:rsidR="00693F78" w:rsidRPr="00B632BB" w14:paraId="0AE4F1DD" w14:textId="77777777" w:rsidTr="00BE7612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6F40469" w14:textId="77777777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 xml:space="preserve">E-mail </w:t>
            </w:r>
          </w:p>
          <w:p w14:paraId="1A5A0AE3" w14:textId="5B9270A2" w:rsidR="00693F78" w:rsidRPr="00B632BB" w:rsidRDefault="00693F78" w:rsidP="00B0747B">
            <w:pPr>
              <w:rPr>
                <w:b/>
                <w:szCs w:val="18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7C1C8" w14:textId="6509F53B" w:rsidR="005B5000" w:rsidRPr="006D4425" w:rsidRDefault="004F2926" w:rsidP="001C393F">
            <w:pPr>
              <w:snapToGrid w:val="0"/>
              <w:rPr>
                <w:szCs w:val="18"/>
              </w:rPr>
            </w:pPr>
            <w:hyperlink r:id="rId11" w:history="1">
              <w:r w:rsidR="00BE7612" w:rsidRPr="006D4425">
                <w:t>ge.berkhoff@tennet.eu</w:t>
              </w:r>
            </w:hyperlink>
          </w:p>
          <w:p w14:paraId="7AED3514" w14:textId="2D589FC7" w:rsidR="00BE7612" w:rsidRPr="006D4425" w:rsidRDefault="00BE7612" w:rsidP="001C393F">
            <w:pPr>
              <w:snapToGrid w:val="0"/>
              <w:rPr>
                <w:szCs w:val="18"/>
              </w:rPr>
            </w:pPr>
            <w:r w:rsidRPr="006D4425">
              <w:rPr>
                <w:szCs w:val="18"/>
              </w:rPr>
              <w:t>elmar.dongelmans@tennet.eu</w:t>
            </w:r>
          </w:p>
          <w:p w14:paraId="42AB1085" w14:textId="08D20926" w:rsidR="00746678" w:rsidRPr="006D4425" w:rsidRDefault="004F2926" w:rsidP="001C393F">
            <w:pPr>
              <w:snapToGrid w:val="0"/>
              <w:rPr>
                <w:szCs w:val="18"/>
              </w:rPr>
            </w:pPr>
            <w:hyperlink r:id="rId12" w:history="1">
              <w:r w:rsidR="00384343" w:rsidRPr="006D4425">
                <w:rPr>
                  <w:rStyle w:val="Hyperlink"/>
                  <w:color w:val="auto"/>
                  <w:szCs w:val="18"/>
                  <w:u w:val="none"/>
                </w:rPr>
                <w:t>kees.sparreboom@sparconsult.eu</w:t>
              </w:r>
            </w:hyperlink>
          </w:p>
          <w:p w14:paraId="4A77CB2C" w14:textId="2E3CA88E" w:rsidR="006D4425" w:rsidRPr="006D4425" w:rsidRDefault="004F2926" w:rsidP="001C393F">
            <w:pPr>
              <w:snapToGrid w:val="0"/>
              <w:rPr>
                <w:szCs w:val="18"/>
              </w:rPr>
            </w:pPr>
            <w:hyperlink r:id="rId13" w:history="1">
              <w:r w:rsidR="006D4425" w:rsidRPr="006D4425">
                <w:rPr>
                  <w:rStyle w:val="Hyperlink"/>
                  <w:color w:val="auto"/>
                  <w:szCs w:val="18"/>
                  <w:u w:val="none"/>
                </w:rPr>
                <w:t>marco.leensen@tennet.eu</w:t>
              </w:r>
            </w:hyperlink>
          </w:p>
          <w:p w14:paraId="19ED1890" w14:textId="5F90A0DB" w:rsidR="00DB5F34" w:rsidRPr="006D4425" w:rsidRDefault="004F2926" w:rsidP="001C393F">
            <w:pPr>
              <w:snapToGrid w:val="0"/>
              <w:rPr>
                <w:szCs w:val="18"/>
              </w:rPr>
            </w:pPr>
            <w:hyperlink r:id="rId14" w:history="1">
              <w:r w:rsidR="00DB5F34" w:rsidRPr="006D4425">
                <w:rPr>
                  <w:rStyle w:val="Hyperlink"/>
                  <w:color w:val="auto"/>
                  <w:szCs w:val="18"/>
                  <w:u w:val="none"/>
                </w:rPr>
                <w:t>chris.hoedt@edsn.nl</w:t>
              </w:r>
            </w:hyperlink>
          </w:p>
          <w:p w14:paraId="0B6058AC" w14:textId="7D0091FA" w:rsidR="00693F78" w:rsidRPr="00B632BB" w:rsidRDefault="00DA6BBD" w:rsidP="001C393F">
            <w:pPr>
              <w:snapToGrid w:val="0"/>
              <w:rPr>
                <w:szCs w:val="18"/>
              </w:rPr>
            </w:pPr>
            <w:r w:rsidRPr="006D4425">
              <w:rPr>
                <w:szCs w:val="18"/>
              </w:rPr>
              <w:t>jan.de.jong@edsn.nl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0A36666D" w14:textId="77777777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Datum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FF4" w14:textId="7E622627" w:rsidR="00693F78" w:rsidRPr="00B632BB" w:rsidRDefault="007F1EE7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0F58CB">
              <w:rPr>
                <w:szCs w:val="18"/>
              </w:rPr>
              <w:t>5</w:t>
            </w:r>
            <w:r w:rsidR="001E357B">
              <w:rPr>
                <w:szCs w:val="18"/>
              </w:rPr>
              <w:t>-05</w:t>
            </w:r>
            <w:r w:rsidR="00DA6BBD" w:rsidRPr="00B632BB">
              <w:rPr>
                <w:szCs w:val="18"/>
              </w:rPr>
              <w:t>-202</w:t>
            </w:r>
            <w:r w:rsidR="005A1DAF" w:rsidRPr="00B632BB">
              <w:rPr>
                <w:szCs w:val="18"/>
              </w:rPr>
              <w:t>1</w:t>
            </w:r>
          </w:p>
        </w:tc>
      </w:tr>
    </w:tbl>
    <w:p w14:paraId="0C1F662F" w14:textId="77777777" w:rsidR="00693F78" w:rsidRPr="00B632BB" w:rsidRDefault="00693F78" w:rsidP="00693F78"/>
    <w:p w14:paraId="2B9FC3B6" w14:textId="77777777" w:rsidR="00693F78" w:rsidRPr="00B632BB" w:rsidRDefault="00693F78" w:rsidP="00693F78">
      <w:pPr>
        <w:rPr>
          <w:szCs w:val="18"/>
        </w:rPr>
      </w:pPr>
    </w:p>
    <w:p w14:paraId="2B23DE28" w14:textId="77777777" w:rsidR="00693F78" w:rsidRPr="00B632BB" w:rsidRDefault="00693F78" w:rsidP="00693F78">
      <w:pPr>
        <w:outlineLvl w:val="0"/>
        <w:rPr>
          <w:i/>
          <w:szCs w:val="18"/>
        </w:rPr>
      </w:pPr>
      <w:r w:rsidRPr="00B632BB">
        <w:rPr>
          <w:i/>
          <w:szCs w:val="18"/>
        </w:rPr>
        <w:t>Details (in te vullen door aanvrager RFC)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:rsidRPr="00B632BB" w14:paraId="10370895" w14:textId="77777777" w:rsidTr="00BB49D5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1A0E717C" w14:textId="77777777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Onderwerp</w:t>
            </w:r>
          </w:p>
          <w:p w14:paraId="37246A6E" w14:textId="77777777" w:rsidR="00693F78" w:rsidRPr="00B632BB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3C346" w14:textId="7BC4834F" w:rsidR="00693F78" w:rsidRPr="00B632BB" w:rsidRDefault="00DB60AB" w:rsidP="001C393F">
            <w:pPr>
              <w:snapToGrid w:val="0"/>
            </w:pPr>
            <w:r>
              <w:rPr>
                <w:szCs w:val="18"/>
              </w:rPr>
              <w:t xml:space="preserve">Documenteren </w:t>
            </w:r>
            <w:r w:rsidR="005D7870">
              <w:rPr>
                <w:szCs w:val="18"/>
              </w:rPr>
              <w:t xml:space="preserve">van de technische </w:t>
            </w:r>
            <w:proofErr w:type="spellStart"/>
            <w:r w:rsidR="005D7870">
              <w:rPr>
                <w:szCs w:val="18"/>
              </w:rPr>
              <w:t>validaties</w:t>
            </w:r>
            <w:proofErr w:type="spellEnd"/>
            <w:r w:rsidR="005D7870">
              <w:rPr>
                <w:szCs w:val="18"/>
              </w:rPr>
              <w:t xml:space="preserve"> </w:t>
            </w:r>
            <w:r w:rsidR="002A6BEB">
              <w:rPr>
                <w:szCs w:val="18"/>
              </w:rPr>
              <w:t>voor het Allocatie 2.0 berichtenverkeer en het aa</w:t>
            </w:r>
            <w:r w:rsidR="00FB18A5">
              <w:rPr>
                <w:szCs w:val="18"/>
              </w:rPr>
              <w:t>npassen van de</w:t>
            </w:r>
            <w:r w:rsidR="005D7870">
              <w:rPr>
                <w:szCs w:val="18"/>
              </w:rPr>
              <w:t xml:space="preserve"> </w:t>
            </w:r>
            <w:proofErr w:type="spellStart"/>
            <w:r w:rsidR="00990ADE" w:rsidRPr="00B632BB">
              <w:t>Acknowledgement</w:t>
            </w:r>
            <w:proofErr w:type="spellEnd"/>
            <w:r w:rsidR="00990ADE" w:rsidRPr="00B632BB">
              <w:t xml:space="preserve"> </w:t>
            </w:r>
            <w:r w:rsidR="00B33413" w:rsidRPr="00B632BB">
              <w:t xml:space="preserve">en Response </w:t>
            </w:r>
            <w:r w:rsidR="00990ADE" w:rsidRPr="00B632BB">
              <w:t>berichtdefinities</w:t>
            </w:r>
            <w:r w:rsidR="00B33413" w:rsidRPr="00B632BB">
              <w:t xml:space="preserve"> </w:t>
            </w:r>
            <w:r w:rsidR="00306EB5" w:rsidRPr="00B632BB">
              <w:t xml:space="preserve">voor het afwijzen van een gecompromitteerd </w:t>
            </w:r>
            <w:r w:rsidR="00A13894" w:rsidRPr="00B632BB">
              <w:t xml:space="preserve">Notification of </w:t>
            </w:r>
            <w:proofErr w:type="spellStart"/>
            <w:r w:rsidR="00A13894" w:rsidRPr="00B632BB">
              <w:t>Request</w:t>
            </w:r>
            <w:proofErr w:type="spellEnd"/>
            <w:r w:rsidR="00A13894" w:rsidRPr="00B632BB">
              <w:t xml:space="preserve"> </w:t>
            </w:r>
            <w:r w:rsidR="00306EB5" w:rsidRPr="00B632BB">
              <w:t>bericht</w:t>
            </w:r>
            <w:r w:rsidR="005A1DAF" w:rsidRPr="00B632BB">
              <w:rPr>
                <w:szCs w:val="18"/>
              </w:rPr>
              <w:t>.</w:t>
            </w:r>
          </w:p>
        </w:tc>
      </w:tr>
      <w:tr w:rsidR="00693F78" w:rsidRPr="00B632BB" w14:paraId="08AE4DC6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2A50FFCA" w14:textId="77777777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Type</w:t>
            </w:r>
          </w:p>
          <w:p w14:paraId="0071C30D" w14:textId="77777777" w:rsidR="00693F78" w:rsidRPr="00B632BB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74F5" w14:textId="77777777" w:rsidR="00693F78" w:rsidRPr="00B632BB" w:rsidRDefault="00693F78" w:rsidP="001C393F">
            <w:pPr>
              <w:snapToGrid w:val="0"/>
              <w:rPr>
                <w:szCs w:val="18"/>
              </w:rPr>
            </w:pPr>
            <w:r w:rsidRPr="00B632BB">
              <w:rPr>
                <w:szCs w:val="18"/>
              </w:rPr>
              <w:t>[  ] Processen</w:t>
            </w:r>
          </w:p>
          <w:p w14:paraId="6E17AD6C" w14:textId="504468D0" w:rsidR="00693F78" w:rsidRPr="00B632BB" w:rsidRDefault="00693F78" w:rsidP="001C393F">
            <w:pPr>
              <w:rPr>
                <w:szCs w:val="18"/>
              </w:rPr>
            </w:pPr>
            <w:r w:rsidRPr="00B632BB">
              <w:rPr>
                <w:szCs w:val="18"/>
              </w:rPr>
              <w:t>[</w:t>
            </w:r>
            <w:r w:rsidR="00071CD4" w:rsidRPr="00B632BB">
              <w:rPr>
                <w:szCs w:val="18"/>
              </w:rPr>
              <w:t>X</w:t>
            </w:r>
            <w:r w:rsidRPr="00B632BB">
              <w:rPr>
                <w:szCs w:val="18"/>
              </w:rPr>
              <w:t>] Functioneel + Technisch (bouw)</w:t>
            </w:r>
          </w:p>
          <w:p w14:paraId="1D650C73" w14:textId="77777777" w:rsidR="00693F78" w:rsidRPr="00B632BB" w:rsidRDefault="00693F78" w:rsidP="001C393F">
            <w:pPr>
              <w:rPr>
                <w:szCs w:val="18"/>
              </w:rPr>
            </w:pPr>
            <w:r w:rsidRPr="00B632BB">
              <w:rPr>
                <w:szCs w:val="18"/>
              </w:rPr>
              <w:t>[  ] Architectuur</w:t>
            </w:r>
          </w:p>
          <w:p w14:paraId="489B4B8D" w14:textId="77777777" w:rsidR="00693F78" w:rsidRPr="00B632BB" w:rsidRDefault="00693F78" w:rsidP="001C393F">
            <w:pPr>
              <w:rPr>
                <w:szCs w:val="18"/>
              </w:rPr>
            </w:pPr>
            <w:r w:rsidRPr="00B632BB">
              <w:rPr>
                <w:szCs w:val="18"/>
              </w:rPr>
              <w:t>[  ] Procedure</w:t>
            </w:r>
          </w:p>
        </w:tc>
      </w:tr>
      <w:tr w:rsidR="00693F78" w:rsidRPr="00B632BB" w14:paraId="1D87433E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21EA4779" w14:textId="77777777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 xml:space="preserve">Betrekking op IC </w:t>
            </w:r>
            <w:proofErr w:type="spellStart"/>
            <w:r w:rsidRPr="00B632BB">
              <w:rPr>
                <w:b/>
                <w:szCs w:val="18"/>
              </w:rPr>
              <w:t>nr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BCAF" w14:textId="73F1E25D" w:rsidR="00693F78" w:rsidRPr="00B632BB" w:rsidRDefault="00693F78" w:rsidP="001C393F">
            <w:pPr>
              <w:snapToGrid w:val="0"/>
              <w:rPr>
                <w:szCs w:val="18"/>
              </w:rPr>
            </w:pPr>
          </w:p>
        </w:tc>
      </w:tr>
      <w:tr w:rsidR="00693F78" w:rsidRPr="00B632BB" w14:paraId="0B9ADD65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692B67CE" w14:textId="77777777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Blocking issue sector bij niet invoeren?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3236" w14:textId="4F0396CC" w:rsidR="00693F78" w:rsidRPr="00B632BB" w:rsidRDefault="00693F78" w:rsidP="001C393F">
            <w:pPr>
              <w:snapToGrid w:val="0"/>
              <w:rPr>
                <w:szCs w:val="18"/>
              </w:rPr>
            </w:pPr>
            <w:r w:rsidRPr="00B632BB">
              <w:rPr>
                <w:szCs w:val="18"/>
              </w:rPr>
              <w:t>[] Ja</w:t>
            </w:r>
          </w:p>
          <w:p w14:paraId="70A51C6D" w14:textId="251CDA72" w:rsidR="00693F78" w:rsidRPr="00B632BB" w:rsidRDefault="00693F78" w:rsidP="001C393F">
            <w:pPr>
              <w:rPr>
                <w:szCs w:val="18"/>
              </w:rPr>
            </w:pPr>
            <w:r w:rsidRPr="00B632BB">
              <w:rPr>
                <w:szCs w:val="18"/>
              </w:rPr>
              <w:t>[</w:t>
            </w:r>
            <w:r w:rsidR="000C6E2B" w:rsidRPr="00B632BB">
              <w:rPr>
                <w:szCs w:val="18"/>
              </w:rPr>
              <w:t>X</w:t>
            </w:r>
            <w:r w:rsidRPr="00B632BB">
              <w:rPr>
                <w:szCs w:val="18"/>
              </w:rPr>
              <w:t>] Nee</w:t>
            </w:r>
          </w:p>
          <w:p w14:paraId="09408780" w14:textId="77777777" w:rsidR="00693F78" w:rsidRPr="00B632BB" w:rsidRDefault="00693F78" w:rsidP="001C393F">
            <w:pPr>
              <w:snapToGrid w:val="0"/>
              <w:rPr>
                <w:szCs w:val="18"/>
              </w:rPr>
            </w:pPr>
          </w:p>
        </w:tc>
      </w:tr>
      <w:tr w:rsidR="00693F78" w:rsidRPr="00B632BB" w14:paraId="18B9600D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F2C1F64" w14:textId="77777777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Referentie/</w:t>
            </w:r>
            <w:r w:rsidRPr="00B632BB">
              <w:rPr>
                <w:b/>
                <w:szCs w:val="18"/>
              </w:rPr>
              <w:br/>
              <w:t>Wijzigingsverzoek-nummer</w:t>
            </w:r>
          </w:p>
          <w:p w14:paraId="6ABD25E7" w14:textId="77777777" w:rsidR="00693F78" w:rsidRPr="00B632BB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024E" w14:textId="77777777" w:rsidR="00693F78" w:rsidRPr="00B632BB" w:rsidRDefault="00693F78" w:rsidP="001C393F">
            <w:pPr>
              <w:snapToGrid w:val="0"/>
              <w:rPr>
                <w:szCs w:val="18"/>
              </w:rPr>
            </w:pPr>
          </w:p>
        </w:tc>
      </w:tr>
    </w:tbl>
    <w:p w14:paraId="1AA693FD" w14:textId="77777777" w:rsidR="00693F78" w:rsidRPr="00B632BB" w:rsidRDefault="00693F78" w:rsidP="00693F78"/>
    <w:p w14:paraId="03880C68" w14:textId="051C5B8B" w:rsidR="00B97D63" w:rsidRDefault="00B97D63">
      <w:pPr>
        <w:widowControl/>
        <w:spacing w:line="240" w:lineRule="auto"/>
      </w:pPr>
      <w:r>
        <w:br w:type="page"/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:rsidRPr="00B632BB" w14:paraId="073DBD02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1550ADCD" w14:textId="77777777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lastRenderedPageBreak/>
              <w:t>Naam change</w:t>
            </w:r>
          </w:p>
          <w:p w14:paraId="532857E8" w14:textId="77777777" w:rsidR="00693F78" w:rsidRPr="00B632BB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2F3B" w14:textId="0FB8C16B" w:rsidR="00B01F3B" w:rsidRPr="00B632BB" w:rsidRDefault="00DB60AB" w:rsidP="00B01F3B">
            <w:pPr>
              <w:tabs>
                <w:tab w:val="left" w:pos="1128"/>
              </w:tabs>
            </w:pPr>
            <w:r w:rsidRPr="00DB60AB">
              <w:rPr>
                <w:szCs w:val="18"/>
              </w:rPr>
              <w:t xml:space="preserve">Technische </w:t>
            </w:r>
            <w:proofErr w:type="spellStart"/>
            <w:r w:rsidRPr="00DB60AB">
              <w:rPr>
                <w:szCs w:val="18"/>
              </w:rPr>
              <w:t>validaties</w:t>
            </w:r>
            <w:proofErr w:type="spellEnd"/>
            <w:r w:rsidRPr="00DB60AB">
              <w:rPr>
                <w:szCs w:val="18"/>
              </w:rPr>
              <w:t xml:space="preserve"> Allocatie 2.0 berichtenverkeer</w:t>
            </w:r>
          </w:p>
        </w:tc>
      </w:tr>
      <w:tr w:rsidR="00693F78" w:rsidRPr="00B632BB" w14:paraId="1C881B0E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6688AFA5" w14:textId="77777777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Reden change</w:t>
            </w:r>
          </w:p>
          <w:p w14:paraId="24C73671" w14:textId="77777777" w:rsidR="00693F78" w:rsidRPr="00B632BB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8E40" w14:textId="4AB1D2ED" w:rsidR="00C53B91" w:rsidRDefault="003D214F" w:rsidP="00E55BFC">
            <w:pPr>
              <w:tabs>
                <w:tab w:val="left" w:pos="1128"/>
              </w:tabs>
              <w:rPr>
                <w:szCs w:val="18"/>
              </w:rPr>
            </w:pPr>
            <w:r>
              <w:rPr>
                <w:szCs w:val="18"/>
              </w:rPr>
              <w:t xml:space="preserve">De ontvanger </w:t>
            </w:r>
            <w:r w:rsidR="00FC3EDA">
              <w:rPr>
                <w:szCs w:val="18"/>
              </w:rPr>
              <w:t>(</w:t>
            </w:r>
            <w:r w:rsidR="00D202CA">
              <w:rPr>
                <w:szCs w:val="18"/>
              </w:rPr>
              <w:t>marktpartij)</w:t>
            </w:r>
            <w:r w:rsidR="0059753D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van een </w:t>
            </w:r>
            <w:r w:rsidR="00301A10">
              <w:rPr>
                <w:szCs w:val="18"/>
              </w:rPr>
              <w:t xml:space="preserve">meetgegevens of herzieningsverzoek </w:t>
            </w:r>
            <w:r>
              <w:rPr>
                <w:szCs w:val="18"/>
              </w:rPr>
              <w:t>bericht</w:t>
            </w:r>
            <w:r w:rsidR="00954EB6">
              <w:rPr>
                <w:szCs w:val="18"/>
              </w:rPr>
              <w:t xml:space="preserve"> stuurt, na het uitvoeren van de controles</w:t>
            </w:r>
            <w:r w:rsidR="00F41498">
              <w:rPr>
                <w:szCs w:val="18"/>
              </w:rPr>
              <w:t xml:space="preserve"> zoals die zijn beschreven in de servicebeschrijvingen</w:t>
            </w:r>
            <w:r w:rsidR="00954EB6">
              <w:rPr>
                <w:szCs w:val="18"/>
              </w:rPr>
              <w:t xml:space="preserve">, een </w:t>
            </w:r>
            <w:r w:rsidR="007C3B1E">
              <w:rPr>
                <w:szCs w:val="18"/>
              </w:rPr>
              <w:t>bevestiging of afwijzing</w:t>
            </w:r>
            <w:r w:rsidR="00CC43E3">
              <w:rPr>
                <w:szCs w:val="18"/>
              </w:rPr>
              <w:t xml:space="preserve"> naar de zender van het bericht</w:t>
            </w:r>
            <w:r w:rsidR="0001406F">
              <w:rPr>
                <w:szCs w:val="18"/>
              </w:rPr>
              <w:t>. Daarvoor zijn</w:t>
            </w:r>
            <w:r w:rsidR="007C3B1E">
              <w:rPr>
                <w:szCs w:val="18"/>
              </w:rPr>
              <w:t xml:space="preserve"> </w:t>
            </w:r>
            <w:r w:rsidR="006D533E">
              <w:rPr>
                <w:szCs w:val="18"/>
              </w:rPr>
              <w:t xml:space="preserve">de volgende </w:t>
            </w:r>
            <w:r w:rsidR="00D2259B">
              <w:rPr>
                <w:szCs w:val="18"/>
              </w:rPr>
              <w:t xml:space="preserve">bevestigingen/afwijzingen </w:t>
            </w:r>
            <w:r w:rsidR="0001406F">
              <w:rPr>
                <w:szCs w:val="18"/>
              </w:rPr>
              <w:t>opgesteld</w:t>
            </w:r>
            <w:r w:rsidR="00C53B91">
              <w:rPr>
                <w:szCs w:val="18"/>
              </w:rPr>
              <w:t>:</w:t>
            </w:r>
          </w:p>
          <w:p w14:paraId="7A6B24F4" w14:textId="163BD2FA" w:rsidR="00C53B91" w:rsidRDefault="00C53B91" w:rsidP="00E55BFC">
            <w:pPr>
              <w:tabs>
                <w:tab w:val="left" w:pos="1128"/>
              </w:tabs>
              <w:rPr>
                <w:szCs w:val="18"/>
              </w:rPr>
            </w:pP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85"/>
              <w:gridCol w:w="3785"/>
            </w:tblGrid>
            <w:tr w:rsidR="007943A7" w14:paraId="484EEC8D" w14:textId="77777777" w:rsidTr="007943A7">
              <w:tc>
                <w:tcPr>
                  <w:tcW w:w="3785" w:type="dxa"/>
                </w:tcPr>
                <w:p w14:paraId="257FF6F5" w14:textId="7AA65A70" w:rsidR="007943A7" w:rsidRPr="00114BA9" w:rsidRDefault="007943A7" w:rsidP="00E55BFC">
                  <w:pPr>
                    <w:tabs>
                      <w:tab w:val="left" w:pos="1128"/>
                    </w:tabs>
                    <w:rPr>
                      <w:b/>
                      <w:bCs/>
                      <w:sz w:val="16"/>
                      <w:szCs w:val="16"/>
                    </w:rPr>
                  </w:pPr>
                  <w:r w:rsidRPr="00114BA9">
                    <w:rPr>
                      <w:b/>
                      <w:bCs/>
                      <w:sz w:val="16"/>
                      <w:szCs w:val="16"/>
                    </w:rPr>
                    <w:t>Bericht</w:t>
                  </w:r>
                </w:p>
              </w:tc>
              <w:tc>
                <w:tcPr>
                  <w:tcW w:w="3785" w:type="dxa"/>
                </w:tcPr>
                <w:p w14:paraId="3931D897" w14:textId="584A2E7A" w:rsidR="007943A7" w:rsidRPr="00114BA9" w:rsidRDefault="007943A7" w:rsidP="00E55BFC">
                  <w:pPr>
                    <w:tabs>
                      <w:tab w:val="left" w:pos="1128"/>
                    </w:tabs>
                    <w:rPr>
                      <w:b/>
                      <w:bCs/>
                      <w:sz w:val="16"/>
                      <w:szCs w:val="16"/>
                    </w:rPr>
                  </w:pPr>
                  <w:r w:rsidRPr="00114BA9">
                    <w:rPr>
                      <w:b/>
                      <w:bCs/>
                      <w:sz w:val="16"/>
                      <w:szCs w:val="16"/>
                    </w:rPr>
                    <w:t>Bevestiging/afwijzing</w:t>
                  </w:r>
                </w:p>
              </w:tc>
            </w:tr>
            <w:tr w:rsidR="00B80037" w14:paraId="3F975873" w14:textId="77777777" w:rsidTr="007943A7">
              <w:tc>
                <w:tcPr>
                  <w:tcW w:w="3785" w:type="dxa"/>
                </w:tcPr>
                <w:p w14:paraId="16D5B2F2" w14:textId="74FD62C8" w:rsidR="00B80037" w:rsidRPr="00B80037" w:rsidRDefault="00B80037" w:rsidP="00B80037">
                  <w:pPr>
                    <w:tabs>
                      <w:tab w:val="left" w:pos="1128"/>
                    </w:tabs>
                    <w:rPr>
                      <w:sz w:val="16"/>
                      <w:szCs w:val="16"/>
                    </w:rPr>
                  </w:pPr>
                  <w:proofErr w:type="spellStart"/>
                  <w:r w:rsidRPr="00B80037">
                    <w:rPr>
                      <w:sz w:val="16"/>
                      <w:szCs w:val="16"/>
                    </w:rPr>
                    <w:t>MeasurementSeriesNot</w:t>
                  </w:r>
                  <w:r w:rsidR="00D33170">
                    <w:rPr>
                      <w:sz w:val="16"/>
                      <w:szCs w:val="16"/>
                    </w:rPr>
                    <w:t>i</w:t>
                  </w:r>
                  <w:r w:rsidRPr="00B80037">
                    <w:rPr>
                      <w:sz w:val="16"/>
                      <w:szCs w:val="16"/>
                    </w:rPr>
                    <w:t>fication</w:t>
                  </w:r>
                  <w:proofErr w:type="spellEnd"/>
                </w:p>
              </w:tc>
              <w:tc>
                <w:tcPr>
                  <w:tcW w:w="3785" w:type="dxa"/>
                </w:tcPr>
                <w:p w14:paraId="1F3E9999" w14:textId="30E5DD7B" w:rsidR="00B80037" w:rsidRPr="00B80037" w:rsidRDefault="00B80037" w:rsidP="00B80037">
                  <w:pPr>
                    <w:tabs>
                      <w:tab w:val="left" w:pos="1128"/>
                    </w:tabs>
                    <w:rPr>
                      <w:sz w:val="16"/>
                      <w:szCs w:val="16"/>
                    </w:rPr>
                  </w:pPr>
                  <w:proofErr w:type="spellStart"/>
                  <w:r w:rsidRPr="00B80037">
                    <w:rPr>
                      <w:sz w:val="16"/>
                      <w:szCs w:val="16"/>
                    </w:rPr>
                    <w:t>MeasurementSeriesAcknowledgement</w:t>
                  </w:r>
                  <w:proofErr w:type="spellEnd"/>
                </w:p>
              </w:tc>
            </w:tr>
            <w:tr w:rsidR="00B80037" w14:paraId="628DCEF6" w14:textId="77777777" w:rsidTr="007943A7">
              <w:tc>
                <w:tcPr>
                  <w:tcW w:w="3785" w:type="dxa"/>
                </w:tcPr>
                <w:p w14:paraId="2C2913C3" w14:textId="7F5633FF" w:rsidR="00B80037" w:rsidRPr="00B80037" w:rsidRDefault="00B80037" w:rsidP="00B80037">
                  <w:pPr>
                    <w:tabs>
                      <w:tab w:val="left" w:pos="1128"/>
                    </w:tabs>
                    <w:rPr>
                      <w:sz w:val="16"/>
                      <w:szCs w:val="16"/>
                    </w:rPr>
                  </w:pPr>
                  <w:proofErr w:type="spellStart"/>
                  <w:r w:rsidRPr="00B80037">
                    <w:rPr>
                      <w:sz w:val="16"/>
                      <w:szCs w:val="16"/>
                    </w:rPr>
                    <w:t>VolumeInstallationSeriesNotification</w:t>
                  </w:r>
                  <w:proofErr w:type="spellEnd"/>
                </w:p>
              </w:tc>
              <w:tc>
                <w:tcPr>
                  <w:tcW w:w="3785" w:type="dxa"/>
                </w:tcPr>
                <w:p w14:paraId="3EE7ED77" w14:textId="561DBD51" w:rsidR="00B80037" w:rsidRPr="00B80037" w:rsidRDefault="00B80037" w:rsidP="00B80037">
                  <w:pPr>
                    <w:tabs>
                      <w:tab w:val="left" w:pos="1128"/>
                    </w:tabs>
                    <w:rPr>
                      <w:sz w:val="16"/>
                      <w:szCs w:val="16"/>
                    </w:rPr>
                  </w:pPr>
                  <w:proofErr w:type="spellStart"/>
                  <w:r w:rsidRPr="00B80037">
                    <w:rPr>
                      <w:sz w:val="16"/>
                      <w:szCs w:val="16"/>
                    </w:rPr>
                    <w:t>VolumeInstallationSeriesAcknowledgement</w:t>
                  </w:r>
                  <w:proofErr w:type="spellEnd"/>
                </w:p>
              </w:tc>
            </w:tr>
            <w:tr w:rsidR="007943A7" w14:paraId="758306AE" w14:textId="77777777" w:rsidTr="007943A7">
              <w:tc>
                <w:tcPr>
                  <w:tcW w:w="3785" w:type="dxa"/>
                </w:tcPr>
                <w:p w14:paraId="7549A04F" w14:textId="124EA1F9" w:rsidR="007943A7" w:rsidRPr="00B80037" w:rsidRDefault="00B80037" w:rsidP="00E55BFC">
                  <w:pPr>
                    <w:tabs>
                      <w:tab w:val="left" w:pos="1128"/>
                    </w:tabs>
                    <w:rPr>
                      <w:sz w:val="16"/>
                      <w:szCs w:val="16"/>
                    </w:rPr>
                  </w:pPr>
                  <w:proofErr w:type="spellStart"/>
                  <w:r w:rsidRPr="00B80037">
                    <w:rPr>
                      <w:sz w:val="16"/>
                      <w:szCs w:val="16"/>
                    </w:rPr>
                    <w:t>VolumeSeriesNotification</w:t>
                  </w:r>
                  <w:proofErr w:type="spellEnd"/>
                </w:p>
              </w:tc>
              <w:tc>
                <w:tcPr>
                  <w:tcW w:w="3785" w:type="dxa"/>
                </w:tcPr>
                <w:p w14:paraId="2497FAF3" w14:textId="461AC6AD" w:rsidR="007943A7" w:rsidRPr="00B80037" w:rsidRDefault="00114BA9" w:rsidP="00E55BFC">
                  <w:pPr>
                    <w:tabs>
                      <w:tab w:val="left" w:pos="1128"/>
                    </w:tabs>
                    <w:rPr>
                      <w:sz w:val="16"/>
                      <w:szCs w:val="16"/>
                    </w:rPr>
                  </w:pPr>
                  <w:proofErr w:type="spellStart"/>
                  <w:r w:rsidRPr="00B80037">
                    <w:rPr>
                      <w:sz w:val="16"/>
                      <w:szCs w:val="16"/>
                    </w:rPr>
                    <w:t>VolumeSeriesAcknowledgement</w:t>
                  </w:r>
                  <w:proofErr w:type="spellEnd"/>
                </w:p>
              </w:tc>
            </w:tr>
            <w:tr w:rsidR="00B80037" w14:paraId="0655906C" w14:textId="77777777" w:rsidTr="007943A7">
              <w:tc>
                <w:tcPr>
                  <w:tcW w:w="3785" w:type="dxa"/>
                </w:tcPr>
                <w:p w14:paraId="3EA42936" w14:textId="4EF3EB22" w:rsidR="00B80037" w:rsidRPr="00B80037" w:rsidRDefault="00B80037" w:rsidP="00B80037">
                  <w:pPr>
                    <w:tabs>
                      <w:tab w:val="left" w:pos="1128"/>
                    </w:tabs>
                    <w:rPr>
                      <w:sz w:val="16"/>
                      <w:szCs w:val="16"/>
                    </w:rPr>
                  </w:pPr>
                  <w:proofErr w:type="spellStart"/>
                  <w:r w:rsidRPr="00B80037">
                    <w:rPr>
                      <w:sz w:val="16"/>
                      <w:szCs w:val="16"/>
                    </w:rPr>
                    <w:t>MeasurementSeriesRevisionRequest</w:t>
                  </w:r>
                  <w:proofErr w:type="spellEnd"/>
                </w:p>
              </w:tc>
              <w:tc>
                <w:tcPr>
                  <w:tcW w:w="3785" w:type="dxa"/>
                </w:tcPr>
                <w:p w14:paraId="3ACDDAF4" w14:textId="0AD6F496" w:rsidR="00B80037" w:rsidRPr="00B80037" w:rsidRDefault="00B80037" w:rsidP="00B80037">
                  <w:pPr>
                    <w:tabs>
                      <w:tab w:val="left" w:pos="1128"/>
                    </w:tabs>
                    <w:rPr>
                      <w:sz w:val="16"/>
                      <w:szCs w:val="16"/>
                    </w:rPr>
                  </w:pPr>
                  <w:proofErr w:type="spellStart"/>
                  <w:r w:rsidRPr="00B80037">
                    <w:rPr>
                      <w:sz w:val="16"/>
                      <w:szCs w:val="16"/>
                    </w:rPr>
                    <w:t>MeasurementSeriesRevisionResponse</w:t>
                  </w:r>
                  <w:proofErr w:type="spellEnd"/>
                </w:p>
              </w:tc>
            </w:tr>
            <w:tr w:rsidR="00B80037" w14:paraId="5A95005C" w14:textId="77777777" w:rsidTr="007943A7">
              <w:tc>
                <w:tcPr>
                  <w:tcW w:w="3785" w:type="dxa"/>
                </w:tcPr>
                <w:p w14:paraId="6391EE5A" w14:textId="7DEB07DA" w:rsidR="00B80037" w:rsidRPr="00B80037" w:rsidRDefault="00B80037" w:rsidP="00B80037">
                  <w:pPr>
                    <w:tabs>
                      <w:tab w:val="left" w:pos="1128"/>
                    </w:tabs>
                    <w:rPr>
                      <w:sz w:val="16"/>
                      <w:szCs w:val="16"/>
                    </w:rPr>
                  </w:pPr>
                  <w:proofErr w:type="spellStart"/>
                  <w:r w:rsidRPr="00B80037">
                    <w:rPr>
                      <w:sz w:val="16"/>
                      <w:szCs w:val="16"/>
                    </w:rPr>
                    <w:t>AllocationVolumeRevisionRequest</w:t>
                  </w:r>
                  <w:proofErr w:type="spellEnd"/>
                </w:p>
              </w:tc>
              <w:tc>
                <w:tcPr>
                  <w:tcW w:w="3785" w:type="dxa"/>
                </w:tcPr>
                <w:p w14:paraId="7071D8BF" w14:textId="670FB3D2" w:rsidR="00B80037" w:rsidRPr="00B80037" w:rsidRDefault="00B80037" w:rsidP="00B80037">
                  <w:pPr>
                    <w:tabs>
                      <w:tab w:val="left" w:pos="1128"/>
                    </w:tabs>
                    <w:rPr>
                      <w:sz w:val="16"/>
                      <w:szCs w:val="16"/>
                    </w:rPr>
                  </w:pPr>
                  <w:proofErr w:type="spellStart"/>
                  <w:r w:rsidRPr="00B80037">
                    <w:rPr>
                      <w:sz w:val="16"/>
                      <w:szCs w:val="16"/>
                    </w:rPr>
                    <w:t>AllocationVolumeRevisionResponse</w:t>
                  </w:r>
                  <w:proofErr w:type="spellEnd"/>
                </w:p>
              </w:tc>
            </w:tr>
          </w:tbl>
          <w:p w14:paraId="38364D2F" w14:textId="3C413224" w:rsidR="00C53B91" w:rsidRDefault="00C53B91" w:rsidP="00E55BFC">
            <w:pPr>
              <w:tabs>
                <w:tab w:val="left" w:pos="1128"/>
              </w:tabs>
              <w:rPr>
                <w:szCs w:val="18"/>
              </w:rPr>
            </w:pPr>
          </w:p>
          <w:p w14:paraId="2C2D6D90" w14:textId="65D10906" w:rsidR="002C75AD" w:rsidRDefault="002C75AD" w:rsidP="00E55BFC">
            <w:pPr>
              <w:tabs>
                <w:tab w:val="left" w:pos="1128"/>
              </w:tabs>
              <w:rPr>
                <w:szCs w:val="18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1F54119C" wp14:editId="77344CC2">
                  <wp:extent cx="4318000" cy="2803852"/>
                  <wp:effectExtent l="0" t="0" r="635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2122" cy="2813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E0E4E3" w14:textId="74BDAA88" w:rsidR="002862CD" w:rsidRDefault="00B86954" w:rsidP="0020600C">
            <w:pPr>
              <w:tabs>
                <w:tab w:val="left" w:pos="1128"/>
              </w:tabs>
              <w:rPr>
                <w:szCs w:val="18"/>
              </w:rPr>
            </w:pPr>
            <w:r>
              <w:rPr>
                <w:szCs w:val="18"/>
              </w:rPr>
              <w:t>Echter</w:t>
            </w:r>
            <w:r w:rsidR="00366C98">
              <w:rPr>
                <w:szCs w:val="18"/>
              </w:rPr>
              <w:t>, wat te d</w:t>
            </w:r>
            <w:r w:rsidR="009A1846">
              <w:rPr>
                <w:szCs w:val="18"/>
              </w:rPr>
              <w:t xml:space="preserve">oen </w:t>
            </w:r>
            <w:r w:rsidR="00D2162A">
              <w:rPr>
                <w:szCs w:val="18"/>
              </w:rPr>
              <w:t>bij</w:t>
            </w:r>
            <w:r w:rsidR="00B45A24">
              <w:rPr>
                <w:szCs w:val="18"/>
              </w:rPr>
              <w:t xml:space="preserve"> </w:t>
            </w:r>
            <w:r w:rsidR="00982CF2">
              <w:rPr>
                <w:szCs w:val="18"/>
              </w:rPr>
              <w:t>het const</w:t>
            </w:r>
            <w:r w:rsidR="006D7C04">
              <w:rPr>
                <w:szCs w:val="18"/>
              </w:rPr>
              <w:t xml:space="preserve">ateren </w:t>
            </w:r>
            <w:r w:rsidR="00982CF2">
              <w:rPr>
                <w:szCs w:val="18"/>
              </w:rPr>
              <w:t xml:space="preserve">van </w:t>
            </w:r>
            <w:r w:rsidR="00692F27">
              <w:rPr>
                <w:szCs w:val="18"/>
              </w:rPr>
              <w:t xml:space="preserve">fouten </w:t>
            </w:r>
            <w:r w:rsidR="006D7C04">
              <w:rPr>
                <w:szCs w:val="18"/>
              </w:rPr>
              <w:t xml:space="preserve">bij </w:t>
            </w:r>
            <w:r w:rsidR="00982CF2">
              <w:rPr>
                <w:szCs w:val="18"/>
              </w:rPr>
              <w:t xml:space="preserve">het uitvoeren van </w:t>
            </w:r>
            <w:r w:rsidR="00D2162A">
              <w:rPr>
                <w:szCs w:val="18"/>
              </w:rPr>
              <w:t>techn</w:t>
            </w:r>
            <w:r w:rsidR="00982CF2">
              <w:rPr>
                <w:szCs w:val="18"/>
              </w:rPr>
              <w:t xml:space="preserve">ische </w:t>
            </w:r>
            <w:proofErr w:type="spellStart"/>
            <w:r w:rsidR="00982CF2">
              <w:rPr>
                <w:szCs w:val="18"/>
              </w:rPr>
              <w:t>val</w:t>
            </w:r>
            <w:r w:rsidR="006D7C04">
              <w:rPr>
                <w:szCs w:val="18"/>
              </w:rPr>
              <w:t>idaties</w:t>
            </w:r>
            <w:proofErr w:type="spellEnd"/>
            <w:r w:rsidR="006D7C04">
              <w:rPr>
                <w:szCs w:val="18"/>
              </w:rPr>
              <w:t xml:space="preserve"> </w:t>
            </w:r>
            <w:r w:rsidR="00982CF2">
              <w:rPr>
                <w:szCs w:val="18"/>
              </w:rPr>
              <w:t xml:space="preserve">door de </w:t>
            </w:r>
            <w:r w:rsidR="00366C98">
              <w:rPr>
                <w:szCs w:val="18"/>
              </w:rPr>
              <w:t xml:space="preserve">ontvanger van een meetgegevens of herzieningsverzoek </w:t>
            </w:r>
            <w:r w:rsidR="00982CF2">
              <w:rPr>
                <w:szCs w:val="18"/>
              </w:rPr>
              <w:t xml:space="preserve">bericht? </w:t>
            </w:r>
            <w:r w:rsidR="008E73DD">
              <w:rPr>
                <w:szCs w:val="18"/>
              </w:rPr>
              <w:t xml:space="preserve">Wenselijk is </w:t>
            </w:r>
            <w:r w:rsidR="00250341">
              <w:rPr>
                <w:szCs w:val="18"/>
              </w:rPr>
              <w:t xml:space="preserve">dat elke ontvanger </w:t>
            </w:r>
            <w:r w:rsidR="00D64EDC">
              <w:rPr>
                <w:szCs w:val="18"/>
              </w:rPr>
              <w:t xml:space="preserve">dezelfde technische </w:t>
            </w:r>
            <w:proofErr w:type="spellStart"/>
            <w:r w:rsidR="00D64EDC">
              <w:rPr>
                <w:szCs w:val="18"/>
              </w:rPr>
              <w:t>validaties</w:t>
            </w:r>
            <w:proofErr w:type="spellEnd"/>
            <w:r w:rsidR="00D64EDC">
              <w:rPr>
                <w:szCs w:val="18"/>
              </w:rPr>
              <w:t xml:space="preserve"> gaat uitvoeren en </w:t>
            </w:r>
            <w:r w:rsidR="002116C3">
              <w:rPr>
                <w:szCs w:val="18"/>
              </w:rPr>
              <w:t xml:space="preserve">dat elke ontvanger, bij het </w:t>
            </w:r>
            <w:r w:rsidR="002862CD">
              <w:rPr>
                <w:szCs w:val="18"/>
              </w:rPr>
              <w:t xml:space="preserve">constateren </w:t>
            </w:r>
            <w:r w:rsidR="002116C3">
              <w:rPr>
                <w:szCs w:val="18"/>
              </w:rPr>
              <w:t>van een tech</w:t>
            </w:r>
            <w:r w:rsidR="002862CD">
              <w:rPr>
                <w:szCs w:val="18"/>
              </w:rPr>
              <w:t xml:space="preserve">nische </w:t>
            </w:r>
            <w:r w:rsidR="002116C3">
              <w:rPr>
                <w:szCs w:val="18"/>
              </w:rPr>
              <w:t xml:space="preserve">fout, op </w:t>
            </w:r>
            <w:r w:rsidR="00250341">
              <w:rPr>
                <w:szCs w:val="18"/>
              </w:rPr>
              <w:t>identieke wijze</w:t>
            </w:r>
            <w:r w:rsidR="007F6117">
              <w:rPr>
                <w:szCs w:val="18"/>
              </w:rPr>
              <w:t xml:space="preserve"> een foutmelding stuurt naar de</w:t>
            </w:r>
            <w:r w:rsidR="008E73DD">
              <w:rPr>
                <w:szCs w:val="18"/>
              </w:rPr>
              <w:t xml:space="preserve"> zender van het bericht. </w:t>
            </w:r>
            <w:r w:rsidR="00D36F13">
              <w:rPr>
                <w:szCs w:val="18"/>
              </w:rPr>
              <w:t xml:space="preserve">Daartoe is deze RFC </w:t>
            </w:r>
            <w:r w:rsidR="002116C3">
              <w:rPr>
                <w:szCs w:val="18"/>
              </w:rPr>
              <w:t xml:space="preserve">voor </w:t>
            </w:r>
            <w:r w:rsidR="002862CD">
              <w:rPr>
                <w:szCs w:val="18"/>
              </w:rPr>
              <w:t xml:space="preserve">de </w:t>
            </w:r>
            <w:r w:rsidR="00704FDB">
              <w:rPr>
                <w:szCs w:val="18"/>
              </w:rPr>
              <w:t xml:space="preserve">volgende </w:t>
            </w:r>
            <w:r w:rsidR="002862CD">
              <w:rPr>
                <w:szCs w:val="18"/>
              </w:rPr>
              <w:t>voorzien</w:t>
            </w:r>
            <w:r w:rsidR="002C75AD">
              <w:rPr>
                <w:szCs w:val="18"/>
              </w:rPr>
              <w:t>e</w:t>
            </w:r>
            <w:r w:rsidR="002862CD">
              <w:rPr>
                <w:szCs w:val="18"/>
              </w:rPr>
              <w:t xml:space="preserve"> technische </w:t>
            </w:r>
            <w:proofErr w:type="spellStart"/>
            <w:r w:rsidR="002C75AD">
              <w:rPr>
                <w:szCs w:val="18"/>
              </w:rPr>
              <w:t>validaties</w:t>
            </w:r>
            <w:proofErr w:type="spellEnd"/>
            <w:r w:rsidR="002862CD">
              <w:rPr>
                <w:szCs w:val="18"/>
              </w:rPr>
              <w:t xml:space="preserve"> </w:t>
            </w:r>
            <w:r w:rsidR="00D36F13">
              <w:rPr>
                <w:szCs w:val="18"/>
              </w:rPr>
              <w:t>opgesteld</w:t>
            </w:r>
            <w:r w:rsidR="002862CD">
              <w:rPr>
                <w:szCs w:val="18"/>
              </w:rPr>
              <w:t>.</w:t>
            </w:r>
          </w:p>
          <w:p w14:paraId="71D6D402" w14:textId="77777777" w:rsidR="002862CD" w:rsidRDefault="002862CD" w:rsidP="0020600C">
            <w:pPr>
              <w:tabs>
                <w:tab w:val="left" w:pos="1128"/>
              </w:tabs>
              <w:rPr>
                <w:szCs w:val="18"/>
              </w:rPr>
            </w:pPr>
          </w:p>
          <w:p w14:paraId="0D784F13" w14:textId="6E671B7B" w:rsidR="002862CD" w:rsidRDefault="007F643C" w:rsidP="0020600C">
            <w:pPr>
              <w:tabs>
                <w:tab w:val="left" w:pos="1128"/>
              </w:tabs>
              <w:rPr>
                <w:szCs w:val="18"/>
              </w:rPr>
            </w:pPr>
            <w:r>
              <w:rPr>
                <w:szCs w:val="18"/>
              </w:rPr>
              <w:t>Techn</w:t>
            </w:r>
            <w:r w:rsidR="00B24D2F">
              <w:rPr>
                <w:szCs w:val="18"/>
              </w:rPr>
              <w:t xml:space="preserve">ische </w:t>
            </w:r>
            <w:proofErr w:type="spellStart"/>
            <w:r>
              <w:rPr>
                <w:szCs w:val="18"/>
              </w:rPr>
              <w:t>validaties</w:t>
            </w:r>
            <w:proofErr w:type="spellEnd"/>
            <w:r>
              <w:rPr>
                <w:szCs w:val="18"/>
              </w:rPr>
              <w:t xml:space="preserve"> ontvanger:</w:t>
            </w:r>
          </w:p>
          <w:p w14:paraId="7E1B611A" w14:textId="2671F53D" w:rsidR="007F643C" w:rsidRDefault="000D3EE4" w:rsidP="007F643C">
            <w:pPr>
              <w:pStyle w:val="Lijstalinea"/>
              <w:numPr>
                <w:ilvl w:val="0"/>
                <w:numId w:val="13"/>
              </w:numPr>
              <w:tabs>
                <w:tab w:val="left" w:pos="1128"/>
              </w:tabs>
              <w:rPr>
                <w:szCs w:val="18"/>
              </w:rPr>
            </w:pPr>
            <w:r>
              <w:rPr>
                <w:szCs w:val="18"/>
              </w:rPr>
              <w:t xml:space="preserve">Is het </w:t>
            </w:r>
            <w:r w:rsidR="007F643C">
              <w:rPr>
                <w:szCs w:val="18"/>
              </w:rPr>
              <w:t>XML bericht valide</w:t>
            </w:r>
            <w:r w:rsidR="00943456">
              <w:rPr>
                <w:szCs w:val="18"/>
              </w:rPr>
              <w:t>?</w:t>
            </w:r>
          </w:p>
          <w:p w14:paraId="33F8A0AC" w14:textId="16977491" w:rsidR="00CC27E8" w:rsidRDefault="000D3EE4" w:rsidP="007F643C">
            <w:pPr>
              <w:pStyle w:val="Lijstalinea"/>
              <w:numPr>
                <w:ilvl w:val="0"/>
                <w:numId w:val="13"/>
              </w:numPr>
              <w:tabs>
                <w:tab w:val="left" w:pos="1128"/>
              </w:tabs>
              <w:rPr>
                <w:szCs w:val="18"/>
              </w:rPr>
            </w:pPr>
            <w:r>
              <w:rPr>
                <w:szCs w:val="18"/>
              </w:rPr>
              <w:t xml:space="preserve">Is het </w:t>
            </w:r>
            <w:r w:rsidR="00CC27E8">
              <w:rPr>
                <w:szCs w:val="18"/>
              </w:rPr>
              <w:t>XML bericht ‘well-</w:t>
            </w:r>
            <w:proofErr w:type="spellStart"/>
            <w:r w:rsidR="00CC27E8">
              <w:rPr>
                <w:szCs w:val="18"/>
              </w:rPr>
              <w:t>formed</w:t>
            </w:r>
            <w:proofErr w:type="spellEnd"/>
            <w:r w:rsidR="00CC27E8">
              <w:rPr>
                <w:szCs w:val="18"/>
              </w:rPr>
              <w:t>’</w:t>
            </w:r>
            <w:r w:rsidR="00943456">
              <w:rPr>
                <w:szCs w:val="18"/>
              </w:rPr>
              <w:t>?</w:t>
            </w:r>
          </w:p>
          <w:p w14:paraId="526B0B21" w14:textId="77777777" w:rsidR="00EA2232" w:rsidRPr="00EA2232" w:rsidRDefault="00EA2232" w:rsidP="00EA2232">
            <w:pPr>
              <w:pStyle w:val="Lijstalinea"/>
              <w:numPr>
                <w:ilvl w:val="0"/>
                <w:numId w:val="13"/>
              </w:numPr>
              <w:rPr>
                <w:szCs w:val="18"/>
              </w:rPr>
            </w:pPr>
            <w:r w:rsidRPr="00EA2232">
              <w:rPr>
                <w:szCs w:val="18"/>
              </w:rPr>
              <w:t>Is de integriteit en/of vertrouwelijkheid van het XML bericht gegarandeerd?</w:t>
            </w:r>
          </w:p>
          <w:p w14:paraId="26878E10" w14:textId="5270EE1A" w:rsidR="00CC27E8" w:rsidRDefault="00AA0309" w:rsidP="007F643C">
            <w:pPr>
              <w:pStyle w:val="Lijstalinea"/>
              <w:numPr>
                <w:ilvl w:val="0"/>
                <w:numId w:val="13"/>
              </w:numPr>
              <w:tabs>
                <w:tab w:val="left" w:pos="1128"/>
              </w:tabs>
              <w:rPr>
                <w:szCs w:val="18"/>
              </w:rPr>
            </w:pPr>
            <w:r w:rsidRPr="00AA0309">
              <w:rPr>
                <w:szCs w:val="18"/>
              </w:rPr>
              <w:t xml:space="preserve">Is het </w:t>
            </w:r>
            <w:proofErr w:type="spellStart"/>
            <w:r w:rsidRPr="00AA0309">
              <w:rPr>
                <w:szCs w:val="18"/>
              </w:rPr>
              <w:t>technicalMessageId</w:t>
            </w:r>
            <w:proofErr w:type="spellEnd"/>
            <w:r w:rsidRPr="00AA0309">
              <w:rPr>
                <w:szCs w:val="18"/>
              </w:rPr>
              <w:t xml:space="preserve"> uniek</w:t>
            </w:r>
            <w:r w:rsidR="00B24D2F">
              <w:rPr>
                <w:szCs w:val="18"/>
              </w:rPr>
              <w:t>?</w:t>
            </w:r>
          </w:p>
          <w:p w14:paraId="093E1374" w14:textId="1C66674E" w:rsidR="00AA0309" w:rsidRDefault="00AA0309" w:rsidP="007F643C">
            <w:pPr>
              <w:pStyle w:val="Lijstalinea"/>
              <w:numPr>
                <w:ilvl w:val="0"/>
                <w:numId w:val="13"/>
              </w:numPr>
              <w:tabs>
                <w:tab w:val="left" w:pos="1128"/>
              </w:tabs>
              <w:rPr>
                <w:szCs w:val="18"/>
              </w:rPr>
            </w:pPr>
            <w:r w:rsidRPr="002E1F5D">
              <w:t xml:space="preserve">Is het </w:t>
            </w:r>
            <w:proofErr w:type="spellStart"/>
            <w:r w:rsidRPr="007E3C21">
              <w:t>Message</w:t>
            </w:r>
            <w:r>
              <w:t>ID</w:t>
            </w:r>
            <w:proofErr w:type="spellEnd"/>
            <w:r>
              <w:t xml:space="preserve"> </w:t>
            </w:r>
            <w:r w:rsidRPr="002E1F5D">
              <w:t>uniek</w:t>
            </w:r>
            <w:r>
              <w:t>?</w:t>
            </w:r>
          </w:p>
          <w:p w14:paraId="106F9AA2" w14:textId="4CB48B37" w:rsidR="00B24D2F" w:rsidRDefault="00060757" w:rsidP="007F643C">
            <w:pPr>
              <w:pStyle w:val="Lijstalinea"/>
              <w:numPr>
                <w:ilvl w:val="0"/>
                <w:numId w:val="13"/>
              </w:numPr>
              <w:tabs>
                <w:tab w:val="left" w:pos="1128"/>
              </w:tabs>
              <w:rPr>
                <w:szCs w:val="18"/>
              </w:rPr>
            </w:pPr>
            <w:r>
              <w:rPr>
                <w:szCs w:val="18"/>
              </w:rPr>
              <w:t xml:space="preserve">Is </w:t>
            </w:r>
            <w:r w:rsidR="00B24D2F">
              <w:rPr>
                <w:szCs w:val="18"/>
              </w:rPr>
              <w:t>de zender</w:t>
            </w:r>
            <w:r w:rsidR="00261B02">
              <w:rPr>
                <w:szCs w:val="18"/>
              </w:rPr>
              <w:t xml:space="preserve"> </w:t>
            </w:r>
            <w:r w:rsidR="00B24D2F">
              <w:rPr>
                <w:szCs w:val="18"/>
              </w:rPr>
              <w:t xml:space="preserve">in </w:t>
            </w:r>
            <w:r w:rsidR="00FC7E0B">
              <w:rPr>
                <w:szCs w:val="18"/>
              </w:rPr>
              <w:t xml:space="preserve">de </w:t>
            </w:r>
            <w:r w:rsidR="00B24D2F">
              <w:rPr>
                <w:szCs w:val="18"/>
              </w:rPr>
              <w:t>SOAP header</w:t>
            </w:r>
            <w:r w:rsidR="00FF43CA">
              <w:rPr>
                <w:szCs w:val="18"/>
              </w:rPr>
              <w:t xml:space="preserve"> </w:t>
            </w:r>
            <w:r w:rsidR="003E6CC6">
              <w:rPr>
                <w:szCs w:val="18"/>
              </w:rPr>
              <w:t xml:space="preserve">identiek </w:t>
            </w:r>
            <w:r w:rsidR="005014DF">
              <w:rPr>
                <w:szCs w:val="18"/>
              </w:rPr>
              <w:t>aan</w:t>
            </w:r>
            <w:r w:rsidR="00FC7E0B">
              <w:rPr>
                <w:szCs w:val="18"/>
              </w:rPr>
              <w:t xml:space="preserve"> die in de </w:t>
            </w:r>
            <w:r w:rsidR="00E23754">
              <w:rPr>
                <w:szCs w:val="18"/>
              </w:rPr>
              <w:t>SOAP body</w:t>
            </w:r>
            <w:r w:rsidR="00FF43CA">
              <w:rPr>
                <w:szCs w:val="18"/>
              </w:rPr>
              <w:t>?</w:t>
            </w:r>
          </w:p>
          <w:p w14:paraId="6308E50B" w14:textId="3F0B0258" w:rsidR="00092CFD" w:rsidRDefault="00092CFD" w:rsidP="00092CFD">
            <w:pPr>
              <w:pStyle w:val="Lijstalinea"/>
              <w:numPr>
                <w:ilvl w:val="0"/>
                <w:numId w:val="13"/>
              </w:numPr>
              <w:tabs>
                <w:tab w:val="left" w:pos="1128"/>
              </w:tabs>
              <w:rPr>
                <w:szCs w:val="18"/>
              </w:rPr>
            </w:pPr>
            <w:r>
              <w:rPr>
                <w:szCs w:val="18"/>
              </w:rPr>
              <w:t xml:space="preserve">Is de ontvanger in de SOAP header </w:t>
            </w:r>
            <w:r w:rsidR="003E6CC6">
              <w:rPr>
                <w:szCs w:val="18"/>
              </w:rPr>
              <w:t xml:space="preserve">identiek </w:t>
            </w:r>
            <w:r>
              <w:rPr>
                <w:szCs w:val="18"/>
              </w:rPr>
              <w:t xml:space="preserve">aan die in de </w:t>
            </w:r>
            <w:r w:rsidR="00E23754">
              <w:rPr>
                <w:szCs w:val="18"/>
              </w:rPr>
              <w:t>SOAP body</w:t>
            </w:r>
            <w:r w:rsidR="00AF2055">
              <w:rPr>
                <w:szCs w:val="18"/>
              </w:rPr>
              <w:t>?</w:t>
            </w:r>
          </w:p>
          <w:p w14:paraId="2E298055" w14:textId="6E2DED81" w:rsidR="00380667" w:rsidRPr="00FE32BA" w:rsidRDefault="00FE32BA" w:rsidP="00FE32BA">
            <w:pPr>
              <w:pStyle w:val="Lijstalinea"/>
              <w:numPr>
                <w:ilvl w:val="0"/>
                <w:numId w:val="13"/>
              </w:numPr>
              <w:tabs>
                <w:tab w:val="left" w:pos="1128"/>
              </w:tabs>
              <w:rPr>
                <w:szCs w:val="18"/>
              </w:rPr>
            </w:pPr>
            <w:r>
              <w:rPr>
                <w:szCs w:val="18"/>
              </w:rPr>
              <w:lastRenderedPageBreak/>
              <w:t xml:space="preserve">Zijn </w:t>
            </w:r>
            <w:proofErr w:type="spellStart"/>
            <w:r>
              <w:rPr>
                <w:szCs w:val="18"/>
              </w:rPr>
              <w:t>contentType</w:t>
            </w:r>
            <w:proofErr w:type="spellEnd"/>
            <w:r>
              <w:rPr>
                <w:szCs w:val="18"/>
              </w:rPr>
              <w:t xml:space="preserve"> in </w:t>
            </w:r>
            <w:r w:rsidR="00E23754">
              <w:rPr>
                <w:szCs w:val="18"/>
              </w:rPr>
              <w:t xml:space="preserve">de </w:t>
            </w:r>
            <w:r>
              <w:rPr>
                <w:szCs w:val="18"/>
              </w:rPr>
              <w:t xml:space="preserve">SOAP header en </w:t>
            </w:r>
            <w:proofErr w:type="spellStart"/>
            <w:r>
              <w:rPr>
                <w:szCs w:val="18"/>
              </w:rPr>
              <w:t>ProcessTypeID</w:t>
            </w:r>
            <w:proofErr w:type="spellEnd"/>
            <w:r>
              <w:rPr>
                <w:szCs w:val="18"/>
              </w:rPr>
              <w:t xml:space="preserve"> in </w:t>
            </w:r>
            <w:r w:rsidR="00E23754">
              <w:rPr>
                <w:szCs w:val="18"/>
              </w:rPr>
              <w:t xml:space="preserve">de SOAP body </w:t>
            </w:r>
            <w:r>
              <w:rPr>
                <w:szCs w:val="18"/>
              </w:rPr>
              <w:t>in lijn met elkaa</w:t>
            </w:r>
            <w:r w:rsidR="00AA300D">
              <w:rPr>
                <w:szCs w:val="18"/>
              </w:rPr>
              <w:t>r</w:t>
            </w:r>
            <w:r>
              <w:rPr>
                <w:szCs w:val="18"/>
              </w:rPr>
              <w:t>?</w:t>
            </w:r>
          </w:p>
          <w:p w14:paraId="09805D4D" w14:textId="06B7E536" w:rsidR="00203610" w:rsidRPr="00704FDB" w:rsidRDefault="00203610" w:rsidP="00704FDB"/>
        </w:tc>
      </w:tr>
      <w:tr w:rsidR="00693F78" w:rsidRPr="00B632BB" w14:paraId="69A25B9B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2C82B7E3" w14:textId="77777777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lastRenderedPageBreak/>
              <w:t>Voorgestelde oplossing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D4C2" w14:textId="475A7CCF" w:rsidR="00704FDB" w:rsidRDefault="00E94EFE" w:rsidP="005F0738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De volg</w:t>
            </w:r>
            <w:r w:rsidR="00E4532A">
              <w:rPr>
                <w:szCs w:val="18"/>
              </w:rPr>
              <w:t xml:space="preserve">ende </w:t>
            </w:r>
            <w:r>
              <w:rPr>
                <w:szCs w:val="18"/>
              </w:rPr>
              <w:t>techn</w:t>
            </w:r>
            <w:r w:rsidR="00E4532A">
              <w:rPr>
                <w:szCs w:val="18"/>
              </w:rPr>
              <w:t xml:space="preserve">ische </w:t>
            </w:r>
            <w:proofErr w:type="spellStart"/>
            <w:r>
              <w:rPr>
                <w:szCs w:val="18"/>
              </w:rPr>
              <w:t>val</w:t>
            </w:r>
            <w:r w:rsidR="00E4532A">
              <w:rPr>
                <w:szCs w:val="18"/>
              </w:rPr>
              <w:t>idaties</w:t>
            </w:r>
            <w:proofErr w:type="spellEnd"/>
            <w:r w:rsidR="00E4532A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dienen </w:t>
            </w:r>
            <w:r w:rsidR="00E4532A">
              <w:rPr>
                <w:szCs w:val="18"/>
              </w:rPr>
              <w:t xml:space="preserve">toegevoegd te worden aan de Allocatie 2.0 </w:t>
            </w:r>
            <w:r w:rsidR="00D11461">
              <w:rPr>
                <w:szCs w:val="18"/>
              </w:rPr>
              <w:t>berichtenverkeer documentatie</w:t>
            </w:r>
            <w:r w:rsidR="000D1B62">
              <w:rPr>
                <w:szCs w:val="18"/>
              </w:rPr>
              <w:t>:</w:t>
            </w:r>
          </w:p>
          <w:p w14:paraId="3E021546" w14:textId="77777777" w:rsidR="00704FDB" w:rsidRDefault="00704FDB" w:rsidP="00704FDB"/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4"/>
              <w:gridCol w:w="5816"/>
            </w:tblGrid>
            <w:tr w:rsidR="00704FDB" w14:paraId="4A2CC871" w14:textId="77777777" w:rsidTr="008B75C7">
              <w:tc>
                <w:tcPr>
                  <w:tcW w:w="7570" w:type="dxa"/>
                  <w:gridSpan w:val="2"/>
                </w:tcPr>
                <w:p w14:paraId="70F6E143" w14:textId="77777777" w:rsidR="00704FDB" w:rsidRDefault="00704FDB" w:rsidP="00704FDB">
                  <w:pPr>
                    <w:pStyle w:val="KopjeRFC"/>
                  </w:pPr>
                  <w:r w:rsidRPr="002F0402">
                    <w:t>Is het XML bericht valide?</w:t>
                  </w:r>
                </w:p>
              </w:tc>
            </w:tr>
            <w:tr w:rsidR="00704FDB" w14:paraId="565CE5A3" w14:textId="77777777" w:rsidTr="008B75C7">
              <w:tc>
                <w:tcPr>
                  <w:tcW w:w="1754" w:type="dxa"/>
                </w:tcPr>
                <w:p w14:paraId="33126FB1" w14:textId="77777777" w:rsidR="00704FDB" w:rsidRDefault="00704FDB" w:rsidP="00704FDB">
                  <w:r>
                    <w:t>Omschrijving</w:t>
                  </w:r>
                </w:p>
              </w:tc>
              <w:tc>
                <w:tcPr>
                  <w:tcW w:w="5816" w:type="dxa"/>
                </w:tcPr>
                <w:p w14:paraId="22D84D88" w14:textId="77777777" w:rsidR="00704FDB" w:rsidRDefault="000C0BF8" w:rsidP="00704FDB">
                  <w:r>
                    <w:t xml:space="preserve">Het </w:t>
                  </w:r>
                  <w:r w:rsidR="00704FDB">
                    <w:t xml:space="preserve">ontvangen XML bericht wordt gevalideerd tegen de </w:t>
                  </w:r>
                  <w:r w:rsidR="00475220">
                    <w:t xml:space="preserve">XML berichtdefinitie (XSD) </w:t>
                  </w:r>
                  <w:r w:rsidR="00396F3B" w:rsidRPr="00396F3B">
                    <w:t>die de ontvanger hanteert</w:t>
                  </w:r>
                  <w:r w:rsidR="00475220">
                    <w:t>.</w:t>
                  </w:r>
                </w:p>
                <w:p w14:paraId="60D25203" w14:textId="77777777" w:rsidR="007A470D" w:rsidRDefault="007A470D" w:rsidP="00704FDB"/>
                <w:p w14:paraId="6553AE91" w14:textId="7E5ADFF6" w:rsidR="007A470D" w:rsidRDefault="007A470D" w:rsidP="00704FDB">
                  <w:r>
                    <w:t xml:space="preserve">Deze </w:t>
                  </w:r>
                  <w:r w:rsidR="009F1AE2">
                    <w:t>validatie wordt door de MMC hub uitgevoerd</w:t>
                  </w:r>
                  <w:r w:rsidR="003F6C33">
                    <w:t>. Een ontvanger kan ervoor kiezen om deze validatie ook nog zelf uit te voeren.</w:t>
                  </w:r>
                </w:p>
              </w:tc>
            </w:tr>
            <w:tr w:rsidR="00704FDB" w14:paraId="004EFD58" w14:textId="77777777" w:rsidTr="008B75C7">
              <w:tc>
                <w:tcPr>
                  <w:tcW w:w="1754" w:type="dxa"/>
                </w:tcPr>
                <w:p w14:paraId="44E28CCF" w14:textId="77777777" w:rsidR="00704FDB" w:rsidRDefault="00704FDB" w:rsidP="00704FDB">
                  <w:r>
                    <w:t>Resultaat</w:t>
                  </w:r>
                </w:p>
              </w:tc>
              <w:tc>
                <w:tcPr>
                  <w:tcW w:w="5816" w:type="dxa"/>
                </w:tcPr>
                <w:p w14:paraId="4240BEEF" w14:textId="65BFA9A0" w:rsidR="00704FDB" w:rsidRDefault="00704FDB" w:rsidP="00704FDB">
                  <w:r>
                    <w:t xml:space="preserve">Indien het XML bericht </w:t>
                  </w:r>
                  <w:r w:rsidRPr="00B0448D">
                    <w:rPr>
                      <w:b/>
                      <w:bCs/>
                    </w:rPr>
                    <w:t>valide</w:t>
                  </w:r>
                  <w:r>
                    <w:t xml:space="preserve"> is, dan kan het door de ontvanger in behandeling worden genomen. Indien het XML bericht </w:t>
                  </w:r>
                  <w:r w:rsidRPr="00B0448D">
                    <w:rPr>
                      <w:b/>
                      <w:bCs/>
                    </w:rPr>
                    <w:t>niet valide</w:t>
                  </w:r>
                  <w:r>
                    <w:t xml:space="preserve"> is, dan dient de ontvanger de volgende foutcode/foutmelding in de </w:t>
                  </w:r>
                  <w:r w:rsidR="0018038E" w:rsidRPr="0018038E">
                    <w:rPr>
                      <w:b/>
                      <w:bCs/>
                    </w:rPr>
                    <w:t>SOAP response</w:t>
                  </w:r>
                  <w:r w:rsidR="0018038E">
                    <w:t xml:space="preserve"> </w:t>
                  </w:r>
                  <w:r>
                    <w:t>te sturen:</w:t>
                  </w:r>
                </w:p>
                <w:p w14:paraId="49814C0A" w14:textId="4B37FE69" w:rsidR="00704FDB" w:rsidRDefault="00704FDB" w:rsidP="00704FDB">
                  <w:proofErr w:type="spellStart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>Foutmelding</w:t>
                  </w:r>
                  <w:proofErr w:type="spellEnd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: </w:t>
                  </w:r>
                  <w:r w:rsidR="00877B78" w:rsidRPr="00877B78">
                    <w:rPr>
                      <w:rFonts w:ascii="Daytona" w:hAnsi="Daytona" w:cstheme="minorHAnsi"/>
                      <w:sz w:val="20"/>
                      <w:lang w:val="en-GB"/>
                    </w:rPr>
                    <w:t>TEN-500001</w:t>
                  </w:r>
                  <w:r w:rsidR="005F6693">
                    <w:rPr>
                      <w:rFonts w:ascii="Daytona" w:hAnsi="Daytona" w:cstheme="minorHAnsi"/>
                      <w:sz w:val="20"/>
                      <w:lang w:val="en-GB"/>
                    </w:rPr>
                    <w:t>: [Error detail]</w:t>
                  </w:r>
                </w:p>
              </w:tc>
            </w:tr>
            <w:tr w:rsidR="00704FDB" w14:paraId="608682A3" w14:textId="77777777" w:rsidTr="008B75C7">
              <w:tc>
                <w:tcPr>
                  <w:tcW w:w="1754" w:type="dxa"/>
                </w:tcPr>
                <w:p w14:paraId="7159C70C" w14:textId="77777777" w:rsidR="00704FDB" w:rsidRDefault="00704FDB" w:rsidP="00704FDB">
                  <w:r>
                    <w:t>Verloop</w:t>
                  </w:r>
                </w:p>
              </w:tc>
              <w:tc>
                <w:tcPr>
                  <w:tcW w:w="5816" w:type="dxa"/>
                </w:tcPr>
                <w:p w14:paraId="1C360C67" w14:textId="00417DA2" w:rsidR="00704FDB" w:rsidRDefault="00704FDB" w:rsidP="00704FDB">
                  <w:r>
                    <w:t xml:space="preserve">Zender ontvangt de foutcode/foutmelding in de </w:t>
                  </w:r>
                  <w:r w:rsidR="0018038E">
                    <w:t>SOAP respons</w:t>
                  </w:r>
                  <w:r w:rsidR="003834C7">
                    <w:t>e</w:t>
                  </w:r>
                  <w:r>
                    <w:t>.</w:t>
                  </w:r>
                </w:p>
              </w:tc>
            </w:tr>
          </w:tbl>
          <w:p w14:paraId="234EA266" w14:textId="77777777" w:rsidR="00704FDB" w:rsidRDefault="00704FDB" w:rsidP="00704FDB"/>
          <w:p w14:paraId="1AB8EE36" w14:textId="77777777" w:rsidR="00704FDB" w:rsidRDefault="00704FDB" w:rsidP="00704FDB"/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4"/>
              <w:gridCol w:w="5816"/>
            </w:tblGrid>
            <w:tr w:rsidR="00704FDB" w14:paraId="1DBA1B1B" w14:textId="77777777" w:rsidTr="008B75C7">
              <w:tc>
                <w:tcPr>
                  <w:tcW w:w="7570" w:type="dxa"/>
                  <w:gridSpan w:val="2"/>
                </w:tcPr>
                <w:p w14:paraId="43974836" w14:textId="77777777" w:rsidR="00704FDB" w:rsidRDefault="00704FDB" w:rsidP="00704FDB">
                  <w:pPr>
                    <w:pStyle w:val="KopjeRFC"/>
                  </w:pPr>
                  <w:r w:rsidRPr="00DA5AEE">
                    <w:t>Is het XML bericht ‘well-formed’</w:t>
                  </w:r>
                  <w:r w:rsidRPr="002F0402">
                    <w:t>?</w:t>
                  </w:r>
                </w:p>
              </w:tc>
            </w:tr>
            <w:tr w:rsidR="00704FDB" w14:paraId="0EB10759" w14:textId="77777777" w:rsidTr="008B75C7">
              <w:tc>
                <w:tcPr>
                  <w:tcW w:w="1754" w:type="dxa"/>
                </w:tcPr>
                <w:p w14:paraId="07AEAC56" w14:textId="77777777" w:rsidR="00704FDB" w:rsidRDefault="00704FDB" w:rsidP="00704FDB">
                  <w:r>
                    <w:t>Omschrijving</w:t>
                  </w:r>
                </w:p>
              </w:tc>
              <w:tc>
                <w:tcPr>
                  <w:tcW w:w="5816" w:type="dxa"/>
                </w:tcPr>
                <w:p w14:paraId="7F6D07AF" w14:textId="77777777" w:rsidR="00704FDB" w:rsidRDefault="00D93DC6" w:rsidP="00704FDB">
                  <w:r>
                    <w:t>H</w:t>
                  </w:r>
                  <w:r w:rsidR="00704FDB">
                    <w:t>et ontvangen XML bericht wordt gevalideerd tegen de W3C XML ‘w</w:t>
                  </w:r>
                  <w:r w:rsidR="00704FDB" w:rsidRPr="002A6C26">
                    <w:t>ell-</w:t>
                  </w:r>
                  <w:proofErr w:type="spellStart"/>
                  <w:r w:rsidR="00704FDB" w:rsidRPr="002A6C26">
                    <w:t>formedness</w:t>
                  </w:r>
                  <w:proofErr w:type="spellEnd"/>
                  <w:r w:rsidR="00704FDB">
                    <w:t>’ specificatie.</w:t>
                  </w:r>
                </w:p>
                <w:p w14:paraId="0DA8E36C" w14:textId="77777777" w:rsidR="0033748C" w:rsidRDefault="0033748C" w:rsidP="00704FDB"/>
                <w:p w14:paraId="53160455" w14:textId="1610CF4A" w:rsidR="0033748C" w:rsidRDefault="0033748C" w:rsidP="00704FDB">
                  <w:r>
                    <w:t>Deze validatie wordt door de MMC hub uitgevoerd. Een ontvanger kan ervoor kiezen om deze validatie ook nog zelf uit te voeren.</w:t>
                  </w:r>
                </w:p>
              </w:tc>
            </w:tr>
            <w:tr w:rsidR="00704FDB" w14:paraId="42383E8F" w14:textId="77777777" w:rsidTr="008B75C7">
              <w:tc>
                <w:tcPr>
                  <w:tcW w:w="1754" w:type="dxa"/>
                </w:tcPr>
                <w:p w14:paraId="3873AC56" w14:textId="77777777" w:rsidR="00704FDB" w:rsidRDefault="00704FDB" w:rsidP="00704FDB">
                  <w:r>
                    <w:t>Resultaat</w:t>
                  </w:r>
                </w:p>
              </w:tc>
              <w:tc>
                <w:tcPr>
                  <w:tcW w:w="5816" w:type="dxa"/>
                </w:tcPr>
                <w:p w14:paraId="48A73243" w14:textId="4D8DDE0C" w:rsidR="00704FDB" w:rsidRDefault="00704FDB" w:rsidP="00704FDB">
                  <w:r>
                    <w:t xml:space="preserve">Indien het XML bericht </w:t>
                  </w:r>
                  <w:r w:rsidRPr="00B0448D">
                    <w:rPr>
                      <w:b/>
                      <w:bCs/>
                    </w:rPr>
                    <w:t>‘well-</w:t>
                  </w:r>
                  <w:proofErr w:type="spellStart"/>
                  <w:r w:rsidRPr="00B0448D">
                    <w:rPr>
                      <w:b/>
                      <w:bCs/>
                    </w:rPr>
                    <w:t>formed</w:t>
                  </w:r>
                  <w:proofErr w:type="spellEnd"/>
                  <w:r w:rsidRPr="00B0448D">
                    <w:rPr>
                      <w:b/>
                      <w:bCs/>
                    </w:rPr>
                    <w:t>’</w:t>
                  </w:r>
                  <w:r>
                    <w:t xml:space="preserve"> is, dan kan het door de ontvanger in behandeling worden genomen. Indien het XML bericht </w:t>
                  </w:r>
                  <w:r w:rsidRPr="00B0448D">
                    <w:rPr>
                      <w:b/>
                      <w:bCs/>
                    </w:rPr>
                    <w:t>niet ‘well-</w:t>
                  </w:r>
                  <w:proofErr w:type="spellStart"/>
                  <w:r w:rsidRPr="00B0448D">
                    <w:rPr>
                      <w:b/>
                      <w:bCs/>
                    </w:rPr>
                    <w:t>formed</w:t>
                  </w:r>
                  <w:proofErr w:type="spellEnd"/>
                  <w:r w:rsidRPr="00B0448D">
                    <w:rPr>
                      <w:b/>
                      <w:bCs/>
                    </w:rPr>
                    <w:t>’</w:t>
                  </w:r>
                  <w:r>
                    <w:t xml:space="preserve"> is, dan dient de ontvanger de volgende foutcode/foutmelding in de </w:t>
                  </w:r>
                  <w:r w:rsidR="00F14408" w:rsidRPr="0018038E">
                    <w:rPr>
                      <w:b/>
                      <w:bCs/>
                    </w:rPr>
                    <w:t>SOAP response</w:t>
                  </w:r>
                  <w:r w:rsidR="00F14408">
                    <w:t xml:space="preserve"> t</w:t>
                  </w:r>
                  <w:r>
                    <w:t>erug te sturen:</w:t>
                  </w:r>
                </w:p>
                <w:p w14:paraId="22E83B50" w14:textId="12B22EC6" w:rsidR="00704FDB" w:rsidRDefault="00704FDB" w:rsidP="00704FDB">
                  <w:proofErr w:type="spellStart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>Foutmelding</w:t>
                  </w:r>
                  <w:proofErr w:type="spellEnd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: </w:t>
                  </w:r>
                  <w:r w:rsidR="005F6693" w:rsidRPr="00877B78">
                    <w:rPr>
                      <w:rFonts w:ascii="Daytona" w:hAnsi="Daytona" w:cstheme="minorHAnsi"/>
                      <w:sz w:val="20"/>
                      <w:lang w:val="en-GB"/>
                    </w:rPr>
                    <w:t>TEN-500001</w:t>
                  </w:r>
                  <w:r w:rsidR="005F6693">
                    <w:rPr>
                      <w:rFonts w:ascii="Daytona" w:hAnsi="Daytona" w:cstheme="minorHAnsi"/>
                      <w:sz w:val="20"/>
                      <w:lang w:val="en-GB"/>
                    </w:rPr>
                    <w:t>: [Error detail]</w:t>
                  </w:r>
                </w:p>
              </w:tc>
            </w:tr>
            <w:tr w:rsidR="00704FDB" w14:paraId="46115D3E" w14:textId="77777777" w:rsidTr="008B75C7">
              <w:tc>
                <w:tcPr>
                  <w:tcW w:w="1754" w:type="dxa"/>
                </w:tcPr>
                <w:p w14:paraId="02C4CD45" w14:textId="77777777" w:rsidR="00704FDB" w:rsidRDefault="00704FDB" w:rsidP="00704FDB">
                  <w:r>
                    <w:t>Verloop</w:t>
                  </w:r>
                </w:p>
              </w:tc>
              <w:tc>
                <w:tcPr>
                  <w:tcW w:w="5816" w:type="dxa"/>
                </w:tcPr>
                <w:p w14:paraId="530370F6" w14:textId="58787F9B" w:rsidR="00704FDB" w:rsidRDefault="00EF2A5B" w:rsidP="00704FDB">
                  <w:r>
                    <w:t>Zender ontvangt de foutcode/foutmelding in de SOAP response.</w:t>
                  </w:r>
                  <w:r w:rsidR="00704FDB">
                    <w:t xml:space="preserve"> </w:t>
                  </w:r>
                </w:p>
              </w:tc>
            </w:tr>
          </w:tbl>
          <w:p w14:paraId="2332F622" w14:textId="77777777" w:rsidR="00704FDB" w:rsidRDefault="00704FDB" w:rsidP="00704FDB"/>
          <w:p w14:paraId="75192B53" w14:textId="77777777" w:rsidR="00704FDB" w:rsidRDefault="00704FDB" w:rsidP="00704FDB"/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4"/>
              <w:gridCol w:w="5816"/>
            </w:tblGrid>
            <w:tr w:rsidR="00704FDB" w14:paraId="51242E4A" w14:textId="77777777" w:rsidTr="008B75C7">
              <w:tc>
                <w:tcPr>
                  <w:tcW w:w="7570" w:type="dxa"/>
                  <w:gridSpan w:val="2"/>
                </w:tcPr>
                <w:p w14:paraId="619FF919" w14:textId="77777777" w:rsidR="00704FDB" w:rsidRDefault="00704FDB" w:rsidP="00704FDB">
                  <w:pPr>
                    <w:pStyle w:val="KopjeRFC"/>
                    <w:ind w:left="357" w:hanging="357"/>
                  </w:pPr>
                  <w:r w:rsidRPr="0029259A">
                    <w:t xml:space="preserve">Is de </w:t>
                  </w:r>
                  <w:r>
                    <w:t>i</w:t>
                  </w:r>
                  <w:r w:rsidRPr="00EA2232">
                    <w:t>ntegriteit en</w:t>
                  </w:r>
                  <w:r>
                    <w:t xml:space="preserve"> </w:t>
                  </w:r>
                  <w:r w:rsidRPr="00EA2232">
                    <w:t xml:space="preserve">vertrouwelijkheid </w:t>
                  </w:r>
                  <w:r>
                    <w:t>v</w:t>
                  </w:r>
                  <w:r w:rsidRPr="0029259A">
                    <w:t>an het XML bericht gegarandeerd</w:t>
                  </w:r>
                  <w:r w:rsidRPr="002F0402">
                    <w:t>?</w:t>
                  </w:r>
                </w:p>
              </w:tc>
            </w:tr>
            <w:tr w:rsidR="00704FDB" w14:paraId="310D38E1" w14:textId="77777777" w:rsidTr="008B75C7">
              <w:tc>
                <w:tcPr>
                  <w:tcW w:w="1754" w:type="dxa"/>
                </w:tcPr>
                <w:p w14:paraId="7410B089" w14:textId="77777777" w:rsidR="00704FDB" w:rsidRDefault="00704FDB" w:rsidP="00704FDB">
                  <w:r>
                    <w:t>Omschrijving</w:t>
                  </w:r>
                </w:p>
              </w:tc>
              <w:tc>
                <w:tcPr>
                  <w:tcW w:w="5816" w:type="dxa"/>
                </w:tcPr>
                <w:p w14:paraId="3F5167F0" w14:textId="6DE7FE58" w:rsidR="007F5CAA" w:rsidRPr="00675684" w:rsidRDefault="00D7788E" w:rsidP="00374D58">
                  <w:r>
                    <w:t>Er</w:t>
                  </w:r>
                  <w:r w:rsidR="00704FDB">
                    <w:t xml:space="preserve"> wordt gecontroleerd of de </w:t>
                  </w:r>
                  <w:r w:rsidR="00C44CD3" w:rsidRPr="00E55BFC">
                    <w:rPr>
                      <w:szCs w:val="18"/>
                    </w:rPr>
                    <w:t xml:space="preserve">integriteit en/of vertrouwelijkheid </w:t>
                  </w:r>
                  <w:r w:rsidR="00704FDB">
                    <w:t>v</w:t>
                  </w:r>
                  <w:r w:rsidR="00704FDB" w:rsidRPr="00B632BB">
                    <w:rPr>
                      <w:szCs w:val="18"/>
                    </w:rPr>
                    <w:t xml:space="preserve">an het </w:t>
                  </w:r>
                  <w:r w:rsidR="00704FDB">
                    <w:rPr>
                      <w:szCs w:val="18"/>
                    </w:rPr>
                    <w:t xml:space="preserve">XML </w:t>
                  </w:r>
                  <w:r w:rsidR="00704FDB" w:rsidRPr="00B632BB">
                    <w:rPr>
                      <w:szCs w:val="18"/>
                    </w:rPr>
                    <w:t xml:space="preserve">bericht is </w:t>
                  </w:r>
                  <w:r w:rsidR="00EF6DE5">
                    <w:t>gegarandeerd</w:t>
                  </w:r>
                  <w:r w:rsidR="004B5CED">
                    <w:t>.</w:t>
                  </w:r>
                  <w:r w:rsidR="00374D58">
                    <w:t xml:space="preserve"> Is eveneens de </w:t>
                  </w:r>
                  <w:proofErr w:type="spellStart"/>
                  <w:r w:rsidR="007F5CAA">
                    <w:t>signing</w:t>
                  </w:r>
                  <w:proofErr w:type="spellEnd"/>
                  <w:r w:rsidR="007F5CAA">
                    <w:t xml:space="preserve"> check</w:t>
                  </w:r>
                  <w:r w:rsidR="0012250A">
                    <w:t xml:space="preserve">, </w:t>
                  </w:r>
                  <w:r w:rsidR="00A227CD">
                    <w:t xml:space="preserve">wanneer </w:t>
                  </w:r>
                  <w:proofErr w:type="spellStart"/>
                  <w:r w:rsidR="00675684">
                    <w:t>signing</w:t>
                  </w:r>
                  <w:proofErr w:type="spellEnd"/>
                  <w:r w:rsidR="00675684">
                    <w:t xml:space="preserve"> </w:t>
                  </w:r>
                  <w:r w:rsidR="006A6B61">
                    <w:t>n</w:t>
                  </w:r>
                  <w:r w:rsidR="00675684">
                    <w:t xml:space="preserve">iet correct is </w:t>
                  </w:r>
                  <w:r w:rsidR="00A227CD">
                    <w:t>dan is de onweerlegbaarheid niet meer aan te tonen.</w:t>
                  </w:r>
                </w:p>
              </w:tc>
            </w:tr>
            <w:tr w:rsidR="00704FDB" w14:paraId="25D8F18C" w14:textId="77777777" w:rsidTr="008B75C7">
              <w:tc>
                <w:tcPr>
                  <w:tcW w:w="1754" w:type="dxa"/>
                </w:tcPr>
                <w:p w14:paraId="634BEFA5" w14:textId="77777777" w:rsidR="00704FDB" w:rsidRDefault="00704FDB" w:rsidP="00704FDB">
                  <w:r>
                    <w:t>Resultaat</w:t>
                  </w:r>
                </w:p>
              </w:tc>
              <w:tc>
                <w:tcPr>
                  <w:tcW w:w="5816" w:type="dxa"/>
                </w:tcPr>
                <w:p w14:paraId="733579F6" w14:textId="591D7B31" w:rsidR="00704FDB" w:rsidRDefault="00704FDB" w:rsidP="00704FDB">
                  <w:r>
                    <w:t xml:space="preserve">Indien de integriteit </w:t>
                  </w:r>
                  <w:r w:rsidRPr="004F7A2E">
                    <w:t>en</w:t>
                  </w:r>
                  <w:r w:rsidR="0025612D">
                    <w:t>/of</w:t>
                  </w:r>
                  <w:r w:rsidRPr="004F7A2E">
                    <w:t xml:space="preserve"> vertrouwelijkheid </w:t>
                  </w:r>
                  <w:r>
                    <w:t xml:space="preserve">van het XML </w:t>
                  </w:r>
                  <w:r>
                    <w:lastRenderedPageBreak/>
                    <w:t xml:space="preserve">bericht </w:t>
                  </w:r>
                  <w:r w:rsidRPr="00E44D87">
                    <w:rPr>
                      <w:b/>
                      <w:bCs/>
                    </w:rPr>
                    <w:t>is gegarandeerd</w:t>
                  </w:r>
                  <w:r>
                    <w:t xml:space="preserve">, dan kan het door de ontvanger in behandeling worden genomen. Indien de integriteit en/of </w:t>
                  </w:r>
                  <w:r w:rsidRPr="00EA2232">
                    <w:rPr>
                      <w:color w:val="000000" w:themeColor="text1"/>
                      <w:szCs w:val="22"/>
                    </w:rPr>
                    <w:t xml:space="preserve">vertrouwelijkheid </w:t>
                  </w:r>
                  <w:r>
                    <w:t xml:space="preserve">van het XML bericht </w:t>
                  </w:r>
                  <w:r w:rsidRPr="00E44D87">
                    <w:rPr>
                      <w:b/>
                      <w:bCs/>
                    </w:rPr>
                    <w:t>niet kan worden gegarandeerd</w:t>
                  </w:r>
                  <w:r>
                    <w:t xml:space="preserve">, dan dient de </w:t>
                  </w:r>
                  <w:r w:rsidRPr="00E55BFC">
                    <w:rPr>
                      <w:szCs w:val="18"/>
                    </w:rPr>
                    <w:t xml:space="preserve">ontvanger </w:t>
                  </w:r>
                  <w:r>
                    <w:t xml:space="preserve">de volgende foutcode/foutmelding in de </w:t>
                  </w:r>
                  <w:proofErr w:type="spellStart"/>
                  <w:r>
                    <w:t>Acknowledgement</w:t>
                  </w:r>
                  <w:proofErr w:type="spellEnd"/>
                  <w:r>
                    <w:t xml:space="preserve"> of Response terug te sturen:</w:t>
                  </w:r>
                </w:p>
                <w:p w14:paraId="6594B738" w14:textId="77777777" w:rsidR="00704FDB" w:rsidRPr="002D15DB" w:rsidRDefault="00704FDB" w:rsidP="00704FDB">
                  <w:pPr>
                    <w:rPr>
                      <w:rFonts w:ascii="Daytona" w:hAnsi="Daytona" w:cstheme="minorHAnsi"/>
                      <w:sz w:val="20"/>
                      <w:lang w:val="en-GB"/>
                    </w:rPr>
                  </w:pPr>
                  <w:proofErr w:type="spellStart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>Foutcode</w:t>
                  </w:r>
                  <w:proofErr w:type="spellEnd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>: 999</w:t>
                  </w:r>
                </w:p>
                <w:p w14:paraId="6E10D75B" w14:textId="305409F4" w:rsidR="00704FDB" w:rsidRPr="00F57DCE" w:rsidRDefault="00704FDB" w:rsidP="00166D29">
                  <w:pPr>
                    <w:rPr>
                      <w:rFonts w:ascii="Daytona" w:hAnsi="Daytona" w:cstheme="minorHAnsi"/>
                      <w:sz w:val="20"/>
                      <w:lang w:val="en-GB"/>
                    </w:rPr>
                  </w:pPr>
                  <w:proofErr w:type="spellStart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>Foutmelding</w:t>
                  </w:r>
                  <w:proofErr w:type="spellEnd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: </w:t>
                  </w:r>
                  <w:r w:rsidR="00F57DCE" w:rsidRPr="00F57DCE">
                    <w:rPr>
                      <w:rFonts w:ascii="Daytona" w:hAnsi="Daytona" w:cstheme="minorHAnsi"/>
                      <w:sz w:val="20"/>
                      <w:lang w:val="en-GB"/>
                    </w:rPr>
                    <w:t>TEN-500021 – Incorrect message signing</w:t>
                  </w:r>
                </w:p>
                <w:p w14:paraId="27606AC0" w14:textId="77777777" w:rsidR="002A507F" w:rsidRDefault="002A507F" w:rsidP="00166D29">
                  <w:pPr>
                    <w:rPr>
                      <w:rFonts w:ascii="Daytona" w:hAnsi="Daytona" w:cstheme="minorHAnsi"/>
                      <w:color w:val="000000"/>
                      <w:sz w:val="20"/>
                      <w:lang w:val="en-GB"/>
                    </w:rPr>
                  </w:pPr>
                </w:p>
                <w:p w14:paraId="0C123644" w14:textId="171044D3" w:rsidR="003F5177" w:rsidRDefault="00CA0EA8" w:rsidP="003F5177">
                  <w:pPr>
                    <w:tabs>
                      <w:tab w:val="left" w:pos="1128"/>
                    </w:tabs>
                    <w:rPr>
                      <w:szCs w:val="18"/>
                    </w:rPr>
                  </w:pPr>
                  <w:r>
                    <w:rPr>
                      <w:szCs w:val="18"/>
                    </w:rPr>
                    <w:t xml:space="preserve">Als blijkt </w:t>
                  </w:r>
                  <w:r w:rsidR="007830CB">
                    <w:rPr>
                      <w:szCs w:val="18"/>
                    </w:rPr>
                    <w:t>dat van een on</w:t>
                  </w:r>
                  <w:r w:rsidR="002A507F" w:rsidRPr="00B632BB">
                    <w:rPr>
                      <w:szCs w:val="18"/>
                    </w:rPr>
                    <w:t xml:space="preserve">tvangen bericht </w:t>
                  </w:r>
                  <w:r w:rsidR="002601F3">
                    <w:t>de integriteit en/of</w:t>
                  </w:r>
                  <w:r w:rsidR="004351C4">
                    <w:t xml:space="preserve"> </w:t>
                  </w:r>
                  <w:r w:rsidR="002601F3" w:rsidRPr="00EA2232">
                    <w:rPr>
                      <w:color w:val="000000" w:themeColor="text1"/>
                      <w:szCs w:val="22"/>
                    </w:rPr>
                    <w:t xml:space="preserve">vertrouwelijkheid </w:t>
                  </w:r>
                  <w:r w:rsidR="002601F3">
                    <w:t>van het XML bericht niet kan worden gegarandeerd</w:t>
                  </w:r>
                  <w:r w:rsidR="002A507F" w:rsidRPr="00E55BFC">
                    <w:rPr>
                      <w:szCs w:val="18"/>
                    </w:rPr>
                    <w:t xml:space="preserve">, dan moet de ontvanger een afwijzing </w:t>
                  </w:r>
                  <w:r w:rsidR="002A507F">
                    <w:rPr>
                      <w:szCs w:val="18"/>
                    </w:rPr>
                    <w:t xml:space="preserve">kunnen </w:t>
                  </w:r>
                  <w:r w:rsidR="002A507F" w:rsidRPr="00E55BFC">
                    <w:rPr>
                      <w:szCs w:val="18"/>
                    </w:rPr>
                    <w:t>sturen naar de zender van het betreffende bericht</w:t>
                  </w:r>
                  <w:r w:rsidR="002A507F">
                    <w:rPr>
                      <w:szCs w:val="18"/>
                    </w:rPr>
                    <w:t xml:space="preserve"> zonder</w:t>
                  </w:r>
                  <w:r w:rsidR="0003461B">
                    <w:rPr>
                      <w:szCs w:val="18"/>
                    </w:rPr>
                    <w:t xml:space="preserve"> het </w:t>
                  </w:r>
                  <w:r w:rsidR="00EA7786">
                    <w:rPr>
                      <w:szCs w:val="18"/>
                    </w:rPr>
                    <w:t>kenmerk op te nemen welk ontvangen bericht het betreft</w:t>
                  </w:r>
                  <w:r w:rsidR="0037557E">
                    <w:rPr>
                      <w:szCs w:val="18"/>
                    </w:rPr>
                    <w:t xml:space="preserve"> (</w:t>
                  </w:r>
                  <w:r w:rsidR="0037557E" w:rsidRPr="00A91597">
                    <w:rPr>
                      <w:szCs w:val="18"/>
                    </w:rPr>
                    <w:t xml:space="preserve">attribuut </w:t>
                  </w:r>
                  <w:proofErr w:type="spellStart"/>
                  <w:r w:rsidR="0037557E" w:rsidRPr="00A91597">
                    <w:rPr>
                      <w:i/>
                      <w:iCs/>
                      <w:szCs w:val="22"/>
                    </w:rPr>
                    <w:t>Received_MarketDocument.mRID</w:t>
                  </w:r>
                  <w:proofErr w:type="spellEnd"/>
                  <w:r w:rsidR="0037557E">
                    <w:rPr>
                      <w:i/>
                      <w:iCs/>
                      <w:szCs w:val="22"/>
                    </w:rPr>
                    <w:t>)</w:t>
                  </w:r>
                  <w:r w:rsidR="00CC1431">
                    <w:rPr>
                      <w:szCs w:val="18"/>
                    </w:rPr>
                    <w:t>. Immers, het XML bericht is gecompromitteerd en het kenmerk is (mogelijk) niet meer betrouwbaar of te achterhalen</w:t>
                  </w:r>
                  <w:r w:rsidR="0037557E">
                    <w:rPr>
                      <w:szCs w:val="18"/>
                    </w:rPr>
                    <w:t>.</w:t>
                  </w:r>
                  <w:r w:rsidR="003F5177">
                    <w:rPr>
                      <w:szCs w:val="18"/>
                    </w:rPr>
                    <w:t xml:space="preserve"> Om dit mogelijk te maken moet dit verplichte kenmerk in de huidige versies van de TR2021 </w:t>
                  </w:r>
                  <w:proofErr w:type="spellStart"/>
                  <w:r w:rsidR="003F5177">
                    <w:rPr>
                      <w:szCs w:val="18"/>
                    </w:rPr>
                    <w:t>Acknowledgement</w:t>
                  </w:r>
                  <w:proofErr w:type="spellEnd"/>
                  <w:r w:rsidR="003F5177">
                    <w:rPr>
                      <w:szCs w:val="18"/>
                    </w:rPr>
                    <w:t xml:space="preserve"> en Response berichtdefinities optioneel worden.</w:t>
                  </w:r>
                </w:p>
                <w:p w14:paraId="56923838" w14:textId="4283B128" w:rsidR="00DF2023" w:rsidRDefault="00DF2023" w:rsidP="003F5177">
                  <w:pPr>
                    <w:tabs>
                      <w:tab w:val="left" w:pos="1128"/>
                    </w:tabs>
                    <w:rPr>
                      <w:szCs w:val="18"/>
                    </w:rPr>
                  </w:pPr>
                </w:p>
                <w:p w14:paraId="4A833018" w14:textId="432042D2" w:rsidR="002A507F" w:rsidRPr="00C34263" w:rsidRDefault="00D54B92" w:rsidP="00C34263">
                  <w:pPr>
                    <w:tabs>
                      <w:tab w:val="left" w:pos="1128"/>
                    </w:tabs>
                    <w:rPr>
                      <w:szCs w:val="18"/>
                    </w:rPr>
                  </w:pPr>
                  <w:r>
                    <w:rPr>
                      <w:szCs w:val="18"/>
                    </w:rPr>
                    <w:t xml:space="preserve">Tevens </w:t>
                  </w:r>
                  <w:r w:rsidR="00DF2023">
                    <w:rPr>
                      <w:szCs w:val="18"/>
                    </w:rPr>
                    <w:t xml:space="preserve">moet de ontvanger in de SOAP header van de afwijzing het attribuut </w:t>
                  </w:r>
                  <w:proofErr w:type="spellStart"/>
                  <w:r w:rsidR="00DF2023">
                    <w:rPr>
                      <w:szCs w:val="18"/>
                    </w:rPr>
                    <w:t>correlationId</w:t>
                  </w:r>
                  <w:proofErr w:type="spellEnd"/>
                  <w:r w:rsidR="00DF2023">
                    <w:rPr>
                      <w:szCs w:val="18"/>
                    </w:rPr>
                    <w:t xml:space="preserve"> vullen met de waarde van de </w:t>
                  </w:r>
                  <w:proofErr w:type="spellStart"/>
                  <w:r w:rsidR="00DF2023">
                    <w:rPr>
                      <w:szCs w:val="18"/>
                    </w:rPr>
                    <w:t>technicalMessageId</w:t>
                  </w:r>
                  <w:proofErr w:type="spellEnd"/>
                  <w:r w:rsidR="00DF2023">
                    <w:rPr>
                      <w:szCs w:val="18"/>
                    </w:rPr>
                    <w:t xml:space="preserve"> van het ontvangen bericht zodat de zender op SOAP header niveau het door hem verstuurde bericht alsnog kan correleren met </w:t>
                  </w:r>
                  <w:r w:rsidR="00C34263">
                    <w:rPr>
                      <w:szCs w:val="18"/>
                    </w:rPr>
                    <w:t xml:space="preserve">de </w:t>
                  </w:r>
                  <w:r w:rsidR="00DF2023">
                    <w:rPr>
                      <w:szCs w:val="18"/>
                    </w:rPr>
                    <w:t>door de ontvanger verstuurde afwijzing.</w:t>
                  </w:r>
                </w:p>
              </w:tc>
            </w:tr>
            <w:tr w:rsidR="00704FDB" w14:paraId="07E508F3" w14:textId="77777777" w:rsidTr="008B75C7">
              <w:tc>
                <w:tcPr>
                  <w:tcW w:w="1754" w:type="dxa"/>
                </w:tcPr>
                <w:p w14:paraId="0EB73FC2" w14:textId="77777777" w:rsidR="00704FDB" w:rsidRDefault="00704FDB" w:rsidP="00704FDB">
                  <w:r>
                    <w:lastRenderedPageBreak/>
                    <w:t>Verloop</w:t>
                  </w:r>
                </w:p>
              </w:tc>
              <w:tc>
                <w:tcPr>
                  <w:tcW w:w="5816" w:type="dxa"/>
                </w:tcPr>
                <w:p w14:paraId="2715BC49" w14:textId="6484F7B1" w:rsidR="00704FDB" w:rsidRDefault="00704FDB" w:rsidP="00704FDB">
                  <w:r>
                    <w:t xml:space="preserve">Zender ontvangt de foutcode/foutmelding in de </w:t>
                  </w:r>
                  <w:proofErr w:type="spellStart"/>
                  <w:r>
                    <w:t>Acknowledgement</w:t>
                  </w:r>
                  <w:proofErr w:type="spellEnd"/>
                  <w:r>
                    <w:t xml:space="preserve"> of Response en dient deze fout te herstellen alvorens het XML bericht opnieuw te versturen. </w:t>
                  </w:r>
                </w:p>
              </w:tc>
            </w:tr>
          </w:tbl>
          <w:p w14:paraId="0D8AC597" w14:textId="5E17EB78" w:rsidR="002E1F5D" w:rsidRDefault="002E1F5D" w:rsidP="002E1F5D"/>
          <w:p w14:paraId="56B13974" w14:textId="77777777" w:rsidR="00092CFD" w:rsidRDefault="00092CFD" w:rsidP="002E1F5D"/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4"/>
              <w:gridCol w:w="5816"/>
            </w:tblGrid>
            <w:tr w:rsidR="002E1F5D" w14:paraId="4656B958" w14:textId="77777777" w:rsidTr="00B82FA3">
              <w:tc>
                <w:tcPr>
                  <w:tcW w:w="7570" w:type="dxa"/>
                  <w:gridSpan w:val="2"/>
                </w:tcPr>
                <w:p w14:paraId="1FCAE8EE" w14:textId="7A631C32" w:rsidR="002E1F5D" w:rsidRDefault="002E1F5D" w:rsidP="002E1F5D">
                  <w:pPr>
                    <w:pStyle w:val="KopjeRFC"/>
                  </w:pPr>
                  <w:r w:rsidRPr="002E1F5D">
                    <w:t xml:space="preserve">Is het </w:t>
                  </w:r>
                  <w:r w:rsidR="00A07DF8" w:rsidRPr="007E3C21">
                    <w:t xml:space="preserve">technicalMessageId </w:t>
                  </w:r>
                  <w:r w:rsidRPr="002E1F5D">
                    <w:t>uniek</w:t>
                  </w:r>
                  <w:r w:rsidRPr="002F0402">
                    <w:t>?</w:t>
                  </w:r>
                </w:p>
              </w:tc>
            </w:tr>
            <w:tr w:rsidR="002E1F5D" w14:paraId="42871DCE" w14:textId="77777777" w:rsidTr="00B82FA3">
              <w:tc>
                <w:tcPr>
                  <w:tcW w:w="1754" w:type="dxa"/>
                </w:tcPr>
                <w:p w14:paraId="0811385E" w14:textId="77777777" w:rsidR="002E1F5D" w:rsidRDefault="002E1F5D" w:rsidP="002E1F5D">
                  <w:r>
                    <w:t>Omschrijving</w:t>
                  </w:r>
                </w:p>
              </w:tc>
              <w:tc>
                <w:tcPr>
                  <w:tcW w:w="5816" w:type="dxa"/>
                </w:tcPr>
                <w:p w14:paraId="17AC27FF" w14:textId="434A276D" w:rsidR="002C28C3" w:rsidRDefault="005B3188" w:rsidP="008677F5">
                  <w:r>
                    <w:t xml:space="preserve">Er </w:t>
                  </w:r>
                  <w:r w:rsidR="00103BE8">
                    <w:t>wordt gecontroleerd of het</w:t>
                  </w:r>
                  <w:r w:rsidR="004A5389">
                    <w:t xml:space="preserve"> </w:t>
                  </w:r>
                  <w:r w:rsidR="006E642F">
                    <w:t>XML</w:t>
                  </w:r>
                  <w:r w:rsidR="00103BE8">
                    <w:t xml:space="preserve"> bericht al eerder</w:t>
                  </w:r>
                  <w:r w:rsidR="002C28C3">
                    <w:t xml:space="preserve"> is ontvangen</w:t>
                  </w:r>
                  <w:r w:rsidR="00C41B04">
                    <w:t xml:space="preserve"> op basis van de </w:t>
                  </w:r>
                  <w:proofErr w:type="spellStart"/>
                  <w:r w:rsidR="00C67816" w:rsidRPr="007E3C21">
                    <w:t>technicalMessageId</w:t>
                  </w:r>
                  <w:proofErr w:type="spellEnd"/>
                  <w:r w:rsidR="00C67816" w:rsidRPr="007E3C21">
                    <w:t xml:space="preserve"> in </w:t>
                  </w:r>
                  <w:r w:rsidR="00C67816">
                    <w:t xml:space="preserve">de </w:t>
                  </w:r>
                  <w:r w:rsidR="00C67816" w:rsidRPr="006E642F">
                    <w:rPr>
                      <w:b/>
                      <w:bCs/>
                    </w:rPr>
                    <w:t>SOAP header</w:t>
                  </w:r>
                  <w:r w:rsidR="00C67816">
                    <w:t>.</w:t>
                  </w:r>
                </w:p>
              </w:tc>
            </w:tr>
            <w:tr w:rsidR="002E1F5D" w14:paraId="2CF81E13" w14:textId="77777777" w:rsidTr="00B82FA3">
              <w:tc>
                <w:tcPr>
                  <w:tcW w:w="1754" w:type="dxa"/>
                </w:tcPr>
                <w:p w14:paraId="548F3C34" w14:textId="77777777" w:rsidR="002E1F5D" w:rsidRDefault="002E1F5D" w:rsidP="002E1F5D">
                  <w:r>
                    <w:t>Resultaat</w:t>
                  </w:r>
                </w:p>
              </w:tc>
              <w:tc>
                <w:tcPr>
                  <w:tcW w:w="5816" w:type="dxa"/>
                </w:tcPr>
                <w:p w14:paraId="160584F7" w14:textId="049D0E64" w:rsidR="002E1F5D" w:rsidRDefault="002E1F5D" w:rsidP="002E1F5D">
                  <w:r>
                    <w:t xml:space="preserve">Indien het </w:t>
                  </w:r>
                  <w:r w:rsidR="006E642F">
                    <w:t>XML</w:t>
                  </w:r>
                  <w:r w:rsidR="008F089C">
                    <w:t xml:space="preserve"> </w:t>
                  </w:r>
                  <w:r>
                    <w:t xml:space="preserve">bericht </w:t>
                  </w:r>
                  <w:r w:rsidR="00C41B04" w:rsidRPr="00E44D87">
                    <w:rPr>
                      <w:b/>
                      <w:bCs/>
                    </w:rPr>
                    <w:t>uniek</w:t>
                  </w:r>
                  <w:r w:rsidR="00C41B04">
                    <w:t xml:space="preserve"> </w:t>
                  </w:r>
                  <w:r>
                    <w:t xml:space="preserve">is, dan kan het door de ontvanger in behandeling worden genomen. Indien het XML bericht </w:t>
                  </w:r>
                  <w:r w:rsidRPr="00E44D87">
                    <w:rPr>
                      <w:b/>
                      <w:bCs/>
                    </w:rPr>
                    <w:t xml:space="preserve">niet </w:t>
                  </w:r>
                  <w:r w:rsidR="00C41B04" w:rsidRPr="00E44D87">
                    <w:rPr>
                      <w:b/>
                      <w:bCs/>
                    </w:rPr>
                    <w:t>uniek</w:t>
                  </w:r>
                  <w:r w:rsidR="00C41B04">
                    <w:t xml:space="preserve"> </w:t>
                  </w:r>
                  <w:r>
                    <w:t xml:space="preserve">is, dan dient de ontvanger de volgende foutcode/foutmelding in de </w:t>
                  </w:r>
                  <w:proofErr w:type="spellStart"/>
                  <w:r>
                    <w:t>Acknowledgement</w:t>
                  </w:r>
                  <w:proofErr w:type="spellEnd"/>
                  <w:r>
                    <w:t xml:space="preserve"> of Response terug te sturen:</w:t>
                  </w:r>
                </w:p>
                <w:p w14:paraId="6CCAA4AF" w14:textId="77777777" w:rsidR="002E1F5D" w:rsidRPr="002D15DB" w:rsidRDefault="002E1F5D" w:rsidP="002E1F5D">
                  <w:pPr>
                    <w:rPr>
                      <w:rFonts w:ascii="Daytona" w:hAnsi="Daytona" w:cstheme="minorHAnsi"/>
                      <w:sz w:val="20"/>
                      <w:lang w:val="en-GB"/>
                    </w:rPr>
                  </w:pPr>
                  <w:proofErr w:type="spellStart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>Foutcode</w:t>
                  </w:r>
                  <w:proofErr w:type="spellEnd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>: 999</w:t>
                  </w:r>
                </w:p>
                <w:p w14:paraId="351CCD2E" w14:textId="32C3B1EA" w:rsidR="002E1F5D" w:rsidRDefault="002E1F5D" w:rsidP="002E1F5D">
                  <w:proofErr w:type="spellStart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>Foutmelding</w:t>
                  </w:r>
                  <w:proofErr w:type="spellEnd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: </w:t>
                  </w:r>
                  <w:r w:rsidR="00602AA4" w:rsidRPr="00877B78">
                    <w:rPr>
                      <w:rFonts w:ascii="Daytona" w:hAnsi="Daytona" w:cstheme="minorHAnsi"/>
                      <w:sz w:val="20"/>
                      <w:lang w:val="en-GB"/>
                    </w:rPr>
                    <w:t>TEN-5000</w:t>
                  </w:r>
                  <w:r w:rsidR="00D66D4F">
                    <w:rPr>
                      <w:rFonts w:ascii="Daytona" w:hAnsi="Daytona" w:cstheme="minorHAnsi"/>
                      <w:sz w:val="20"/>
                      <w:lang w:val="en-GB"/>
                    </w:rPr>
                    <w:t>23</w:t>
                  </w:r>
                  <w:r w:rsidR="00602AA4" w:rsidRPr="00877B78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 – </w:t>
                  </w:r>
                  <w:r w:rsidR="00EE7134" w:rsidRPr="00EE7134">
                    <w:rPr>
                      <w:rFonts w:ascii="Daytona" w:hAnsi="Daytona" w:cstheme="minorHAnsi"/>
                      <w:sz w:val="20"/>
                      <w:lang w:val="en-GB"/>
                    </w:rPr>
                    <w:t>Unique identifier not unique or already processed</w:t>
                  </w:r>
                </w:p>
              </w:tc>
            </w:tr>
            <w:tr w:rsidR="002E1F5D" w14:paraId="2648F46A" w14:textId="77777777" w:rsidTr="00B82FA3">
              <w:tc>
                <w:tcPr>
                  <w:tcW w:w="1754" w:type="dxa"/>
                </w:tcPr>
                <w:p w14:paraId="45A699DE" w14:textId="77777777" w:rsidR="002E1F5D" w:rsidRDefault="002E1F5D" w:rsidP="002E1F5D">
                  <w:r>
                    <w:t>Verloop</w:t>
                  </w:r>
                </w:p>
              </w:tc>
              <w:tc>
                <w:tcPr>
                  <w:tcW w:w="5816" w:type="dxa"/>
                </w:tcPr>
                <w:p w14:paraId="2369A0C2" w14:textId="489B2860" w:rsidR="002E1F5D" w:rsidRDefault="002E1F5D" w:rsidP="002E1F5D">
                  <w:r>
                    <w:t xml:space="preserve">Zender ontvangt de foutcode/foutmelding in de </w:t>
                  </w:r>
                  <w:proofErr w:type="spellStart"/>
                  <w:r>
                    <w:lastRenderedPageBreak/>
                    <w:t>Acknowledgement</w:t>
                  </w:r>
                  <w:proofErr w:type="spellEnd"/>
                  <w:r>
                    <w:t xml:space="preserve"> of Response en dient deze fout te herstellen alvorens het XML bericht opnieuw te versturen. </w:t>
                  </w:r>
                </w:p>
              </w:tc>
            </w:tr>
          </w:tbl>
          <w:p w14:paraId="57D55A5A" w14:textId="67F5EF54" w:rsidR="002E1F5D" w:rsidRDefault="002E1F5D" w:rsidP="002E1F5D"/>
          <w:p w14:paraId="2866009C" w14:textId="77777777" w:rsidR="00C67816" w:rsidRDefault="00C67816" w:rsidP="00C67816"/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4"/>
              <w:gridCol w:w="5816"/>
            </w:tblGrid>
            <w:tr w:rsidR="00C67816" w14:paraId="5A133244" w14:textId="77777777" w:rsidTr="00C94399">
              <w:tc>
                <w:tcPr>
                  <w:tcW w:w="7570" w:type="dxa"/>
                  <w:gridSpan w:val="2"/>
                </w:tcPr>
                <w:p w14:paraId="6C32206F" w14:textId="7964B8CC" w:rsidR="00C67816" w:rsidRDefault="00C67816" w:rsidP="00C67816">
                  <w:pPr>
                    <w:pStyle w:val="KopjeRFC"/>
                  </w:pPr>
                  <w:r w:rsidRPr="002E1F5D">
                    <w:t xml:space="preserve">Is </w:t>
                  </w:r>
                  <w:r w:rsidR="00A07DF8">
                    <w:t xml:space="preserve">het </w:t>
                  </w:r>
                  <w:r w:rsidR="00A07DF8" w:rsidRPr="007E3C21">
                    <w:t>MessageID</w:t>
                  </w:r>
                  <w:r w:rsidR="00A07DF8" w:rsidRPr="002E1F5D">
                    <w:t xml:space="preserve"> </w:t>
                  </w:r>
                  <w:r w:rsidRPr="002E1F5D">
                    <w:t>uniek</w:t>
                  </w:r>
                  <w:r w:rsidRPr="002F0402">
                    <w:t>?</w:t>
                  </w:r>
                </w:p>
              </w:tc>
            </w:tr>
            <w:tr w:rsidR="00C67816" w14:paraId="5EA8D804" w14:textId="77777777" w:rsidTr="00C94399">
              <w:tc>
                <w:tcPr>
                  <w:tcW w:w="1754" w:type="dxa"/>
                </w:tcPr>
                <w:p w14:paraId="2D7C42EE" w14:textId="77777777" w:rsidR="00C67816" w:rsidRDefault="00C67816" w:rsidP="00C67816">
                  <w:r>
                    <w:t>Omschrijving</w:t>
                  </w:r>
                </w:p>
              </w:tc>
              <w:tc>
                <w:tcPr>
                  <w:tcW w:w="5816" w:type="dxa"/>
                </w:tcPr>
                <w:p w14:paraId="13207157" w14:textId="28126CA3" w:rsidR="00C67816" w:rsidRDefault="00C67816" w:rsidP="00C67816">
                  <w:r>
                    <w:t xml:space="preserve">Er wordt gecontroleerd of het XML bericht al eerder is ontvangen op basis van de </w:t>
                  </w:r>
                  <w:proofErr w:type="spellStart"/>
                  <w:r w:rsidRPr="007E3C21">
                    <w:t>MessageID</w:t>
                  </w:r>
                  <w:proofErr w:type="spellEnd"/>
                  <w:r w:rsidRPr="007E3C21">
                    <w:t xml:space="preserve"> in </w:t>
                  </w:r>
                  <w:r w:rsidRPr="00DF4B06">
                    <w:rPr>
                      <w:b/>
                      <w:bCs/>
                    </w:rPr>
                    <w:t>SOAP body</w:t>
                  </w:r>
                  <w:r>
                    <w:t>.</w:t>
                  </w:r>
                </w:p>
              </w:tc>
            </w:tr>
            <w:tr w:rsidR="00C67816" w14:paraId="3D99131F" w14:textId="77777777" w:rsidTr="00C94399">
              <w:tc>
                <w:tcPr>
                  <w:tcW w:w="1754" w:type="dxa"/>
                </w:tcPr>
                <w:p w14:paraId="0E740140" w14:textId="77777777" w:rsidR="00C67816" w:rsidRDefault="00C67816" w:rsidP="00C67816">
                  <w:r>
                    <w:t>Resultaat</w:t>
                  </w:r>
                </w:p>
              </w:tc>
              <w:tc>
                <w:tcPr>
                  <w:tcW w:w="5816" w:type="dxa"/>
                </w:tcPr>
                <w:p w14:paraId="1360A807" w14:textId="77777777" w:rsidR="00C67816" w:rsidRDefault="00C67816" w:rsidP="00C67816">
                  <w:r>
                    <w:t xml:space="preserve">Indien het XML bericht </w:t>
                  </w:r>
                  <w:r w:rsidRPr="00E44D87">
                    <w:rPr>
                      <w:b/>
                      <w:bCs/>
                    </w:rPr>
                    <w:t>uniek</w:t>
                  </w:r>
                  <w:r>
                    <w:t xml:space="preserve"> is, dan kan het door de ontvanger in behandeling worden genomen. Indien het XML bericht </w:t>
                  </w:r>
                  <w:r w:rsidRPr="00E44D87">
                    <w:rPr>
                      <w:b/>
                      <w:bCs/>
                    </w:rPr>
                    <w:t>niet uniek</w:t>
                  </w:r>
                  <w:r>
                    <w:t xml:space="preserve"> is, dan dient de ontvanger de volgende foutcode/foutmelding in de </w:t>
                  </w:r>
                  <w:proofErr w:type="spellStart"/>
                  <w:r>
                    <w:t>Acknowledgement</w:t>
                  </w:r>
                  <w:proofErr w:type="spellEnd"/>
                  <w:r>
                    <w:t xml:space="preserve"> of Response terug te sturen:</w:t>
                  </w:r>
                </w:p>
                <w:p w14:paraId="7E1ADBB9" w14:textId="7E3C9A83" w:rsidR="00C67816" w:rsidRPr="002D15DB" w:rsidRDefault="00C67816" w:rsidP="00C67816">
                  <w:pPr>
                    <w:rPr>
                      <w:rFonts w:ascii="Daytona" w:hAnsi="Daytona" w:cstheme="minorHAnsi"/>
                      <w:sz w:val="20"/>
                      <w:lang w:val="en-GB"/>
                    </w:rPr>
                  </w:pPr>
                  <w:proofErr w:type="spellStart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>Foutcode</w:t>
                  </w:r>
                  <w:proofErr w:type="spellEnd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: </w:t>
                  </w:r>
                  <w:r w:rsidR="0063420C">
                    <w:rPr>
                      <w:rFonts w:ascii="Daytona" w:hAnsi="Daytona" w:cstheme="minorHAnsi"/>
                      <w:sz w:val="20"/>
                      <w:lang w:val="en-GB"/>
                    </w:rPr>
                    <w:t>669</w:t>
                  </w:r>
                </w:p>
                <w:p w14:paraId="676C3779" w14:textId="26D1658B" w:rsidR="00C67816" w:rsidRDefault="00C67816" w:rsidP="00C67816">
                  <w:r w:rsidRPr="00A63C17">
                    <w:rPr>
                      <w:rFonts w:ascii="Daytona" w:hAnsi="Daytona" w:cstheme="minorHAnsi"/>
                      <w:sz w:val="20"/>
                    </w:rPr>
                    <w:t xml:space="preserve">Foutmelding: </w:t>
                  </w:r>
                  <w:r w:rsidR="00A2362D" w:rsidRPr="00A63C17">
                    <w:rPr>
                      <w:rFonts w:ascii="Daytona" w:hAnsi="Daytona" w:cstheme="minorHAnsi"/>
                      <w:sz w:val="20"/>
                    </w:rPr>
                    <w:t xml:space="preserve">Er is al eerder een bericht met dit </w:t>
                  </w:r>
                  <w:proofErr w:type="spellStart"/>
                  <w:r w:rsidR="00A2362D" w:rsidRPr="00A63C17">
                    <w:rPr>
                      <w:rFonts w:ascii="Daytona" w:hAnsi="Daytona" w:cstheme="minorHAnsi"/>
                      <w:sz w:val="20"/>
                    </w:rPr>
                    <w:t>MessageID</w:t>
                  </w:r>
                  <w:proofErr w:type="spellEnd"/>
                  <w:r w:rsidR="00A2362D" w:rsidRPr="00A63C17">
                    <w:rPr>
                      <w:rFonts w:ascii="Daytona" w:hAnsi="Daytona" w:cstheme="minorHAnsi"/>
                      <w:sz w:val="20"/>
                    </w:rPr>
                    <w:t xml:space="preserve"> on</w:t>
                  </w:r>
                  <w:r w:rsidR="00101260" w:rsidRPr="00A63C17">
                    <w:rPr>
                      <w:rFonts w:ascii="Daytona" w:hAnsi="Daytona" w:cstheme="minorHAnsi"/>
                      <w:sz w:val="20"/>
                    </w:rPr>
                    <w:t>t</w:t>
                  </w:r>
                  <w:r w:rsidR="00A2362D" w:rsidRPr="00A63C17">
                    <w:rPr>
                      <w:rFonts w:ascii="Daytona" w:hAnsi="Daytona" w:cstheme="minorHAnsi"/>
                      <w:sz w:val="20"/>
                    </w:rPr>
                    <w:t>vangen</w:t>
                  </w:r>
                  <w:r w:rsidR="00A2362D" w:rsidRPr="00A2362D">
                    <w:rPr>
                      <w:rFonts w:ascii="Daytona" w:hAnsi="Daytona" w:cstheme="minorHAnsi"/>
                      <w:sz w:val="20"/>
                      <w:lang w:val="en-GB"/>
                    </w:rPr>
                    <w:t>.</w:t>
                  </w:r>
                </w:p>
              </w:tc>
            </w:tr>
            <w:tr w:rsidR="00C67816" w14:paraId="63CBDA3A" w14:textId="77777777" w:rsidTr="00C94399">
              <w:tc>
                <w:tcPr>
                  <w:tcW w:w="1754" w:type="dxa"/>
                </w:tcPr>
                <w:p w14:paraId="347F50E6" w14:textId="77777777" w:rsidR="00C67816" w:rsidRDefault="00C67816" w:rsidP="00C67816">
                  <w:r>
                    <w:t>Verloop</w:t>
                  </w:r>
                </w:p>
              </w:tc>
              <w:tc>
                <w:tcPr>
                  <w:tcW w:w="5816" w:type="dxa"/>
                </w:tcPr>
                <w:p w14:paraId="134F49B8" w14:textId="77777777" w:rsidR="00C67816" w:rsidRDefault="00C67816" w:rsidP="00C67816">
                  <w:r>
                    <w:t xml:space="preserve">Zender ontvangt de foutcode/foutmelding in de </w:t>
                  </w:r>
                  <w:proofErr w:type="spellStart"/>
                  <w:r>
                    <w:t>Acknowledgement</w:t>
                  </w:r>
                  <w:proofErr w:type="spellEnd"/>
                  <w:r>
                    <w:t xml:space="preserve"> of Response en dient deze fout te herstellen alvorens het XML bericht opnieuw te versturen. </w:t>
                  </w:r>
                </w:p>
              </w:tc>
            </w:tr>
          </w:tbl>
          <w:p w14:paraId="1E7FE0BA" w14:textId="3C868D77" w:rsidR="00C67816" w:rsidRDefault="00C67816" w:rsidP="00C67816"/>
          <w:p w14:paraId="10EDE992" w14:textId="77777777" w:rsidR="00C67816" w:rsidRDefault="00C67816" w:rsidP="00C67816"/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4"/>
              <w:gridCol w:w="5816"/>
            </w:tblGrid>
            <w:tr w:rsidR="002E1F5D" w14:paraId="608ECC46" w14:textId="77777777" w:rsidTr="00B82FA3">
              <w:tc>
                <w:tcPr>
                  <w:tcW w:w="7570" w:type="dxa"/>
                  <w:gridSpan w:val="2"/>
                </w:tcPr>
                <w:p w14:paraId="35ED02BD" w14:textId="450D4820" w:rsidR="002E1F5D" w:rsidRPr="00092CFD" w:rsidRDefault="00E21DE5" w:rsidP="00092CFD">
                  <w:pPr>
                    <w:pStyle w:val="KopjeRFC"/>
                    <w:rPr>
                      <w:szCs w:val="18"/>
                    </w:rPr>
                  </w:pPr>
                  <w:r w:rsidRPr="00E21DE5">
                    <w:rPr>
                      <w:szCs w:val="18"/>
                    </w:rPr>
                    <w:t>Is de zender in de SOAP header identiek aan die in de SOAP body</w:t>
                  </w:r>
                  <w:r w:rsidR="00092CFD" w:rsidRPr="00092CFD">
                    <w:rPr>
                      <w:szCs w:val="18"/>
                    </w:rPr>
                    <w:t>?</w:t>
                  </w:r>
                </w:p>
              </w:tc>
            </w:tr>
            <w:tr w:rsidR="002E1F5D" w14:paraId="56361522" w14:textId="77777777" w:rsidTr="00B82FA3">
              <w:tc>
                <w:tcPr>
                  <w:tcW w:w="1754" w:type="dxa"/>
                </w:tcPr>
                <w:p w14:paraId="613F7B6F" w14:textId="77777777" w:rsidR="002E1F5D" w:rsidRDefault="002E1F5D" w:rsidP="002E1F5D">
                  <w:r>
                    <w:t>Omschrijving</w:t>
                  </w:r>
                </w:p>
              </w:tc>
              <w:tc>
                <w:tcPr>
                  <w:tcW w:w="5816" w:type="dxa"/>
                </w:tcPr>
                <w:p w14:paraId="5B6F41A4" w14:textId="639BEB7D" w:rsidR="002E1F5D" w:rsidRDefault="005B3188" w:rsidP="003D1F4A">
                  <w:r>
                    <w:t xml:space="preserve">Er </w:t>
                  </w:r>
                  <w:r w:rsidR="00C41B04">
                    <w:t xml:space="preserve">wordt gecontroleerd of de </w:t>
                  </w:r>
                  <w:r w:rsidR="00A725EE">
                    <w:t xml:space="preserve">EAN </w:t>
                  </w:r>
                  <w:r w:rsidR="0016547F">
                    <w:t xml:space="preserve">zender in </w:t>
                  </w:r>
                  <w:r w:rsidR="009E41C8">
                    <w:t xml:space="preserve">de SOAP header </w:t>
                  </w:r>
                  <w:r w:rsidR="0016547F">
                    <w:t xml:space="preserve">en in de </w:t>
                  </w:r>
                  <w:r w:rsidR="00D74DA8">
                    <w:t xml:space="preserve">SOAP body </w:t>
                  </w:r>
                  <w:r w:rsidR="00A725EE">
                    <w:t xml:space="preserve">identiek </w:t>
                  </w:r>
                  <w:r w:rsidR="00C32486">
                    <w:t>zijn</w:t>
                  </w:r>
                  <w:r w:rsidR="00A725EE">
                    <w:t>.</w:t>
                  </w:r>
                </w:p>
              </w:tc>
            </w:tr>
            <w:tr w:rsidR="002E1F5D" w14:paraId="0DE38DB0" w14:textId="77777777" w:rsidTr="00B82FA3">
              <w:tc>
                <w:tcPr>
                  <w:tcW w:w="1754" w:type="dxa"/>
                </w:tcPr>
                <w:p w14:paraId="73D58A0C" w14:textId="77777777" w:rsidR="002E1F5D" w:rsidRDefault="002E1F5D" w:rsidP="002E1F5D">
                  <w:r>
                    <w:t>Resultaat</w:t>
                  </w:r>
                </w:p>
              </w:tc>
              <w:tc>
                <w:tcPr>
                  <w:tcW w:w="5816" w:type="dxa"/>
                </w:tcPr>
                <w:p w14:paraId="621DE040" w14:textId="1D4DBC6B" w:rsidR="002E1F5D" w:rsidRDefault="002E1F5D" w:rsidP="002E1F5D">
                  <w:r>
                    <w:t xml:space="preserve">Indien </w:t>
                  </w:r>
                  <w:r w:rsidR="003D1F4A">
                    <w:t xml:space="preserve">de </w:t>
                  </w:r>
                  <w:proofErr w:type="spellStart"/>
                  <w:r w:rsidR="003D1F4A">
                    <w:t>EANs</w:t>
                  </w:r>
                  <w:proofErr w:type="spellEnd"/>
                  <w:r w:rsidR="003D1F4A">
                    <w:t xml:space="preserve"> in de SOAP header en in de </w:t>
                  </w:r>
                  <w:r w:rsidR="00D74DA8">
                    <w:t xml:space="preserve">SOAP body </w:t>
                  </w:r>
                  <w:r w:rsidR="003D1F4A" w:rsidRPr="00C60DFF">
                    <w:rPr>
                      <w:b/>
                      <w:bCs/>
                    </w:rPr>
                    <w:t>identiek</w:t>
                  </w:r>
                  <w:r w:rsidR="003D1F4A">
                    <w:t xml:space="preserve"> zijn</w:t>
                  </w:r>
                  <w:r>
                    <w:t xml:space="preserve">, dan kan het </w:t>
                  </w:r>
                  <w:r w:rsidR="007F05B6">
                    <w:t xml:space="preserve">bericht </w:t>
                  </w:r>
                  <w:r>
                    <w:t xml:space="preserve">door de ontvanger in behandeling worden genomen. Indien </w:t>
                  </w:r>
                  <w:r w:rsidR="007A55BB">
                    <w:t xml:space="preserve">zender </w:t>
                  </w:r>
                  <w:proofErr w:type="spellStart"/>
                  <w:r w:rsidR="007A55BB">
                    <w:t>EANs</w:t>
                  </w:r>
                  <w:proofErr w:type="spellEnd"/>
                  <w:r w:rsidR="007A55BB">
                    <w:t xml:space="preserve"> </w:t>
                  </w:r>
                  <w:r w:rsidR="007A55BB" w:rsidRPr="00C60DFF">
                    <w:rPr>
                      <w:b/>
                      <w:bCs/>
                    </w:rPr>
                    <w:t>niet identiek</w:t>
                  </w:r>
                  <w:r w:rsidR="007A55BB">
                    <w:t xml:space="preserve"> zijn</w:t>
                  </w:r>
                  <w:r>
                    <w:t xml:space="preserve">, dan dient de ontvanger de volgende foutcode/foutmelding in de </w:t>
                  </w:r>
                  <w:proofErr w:type="spellStart"/>
                  <w:r>
                    <w:t>Acknowledgement</w:t>
                  </w:r>
                  <w:proofErr w:type="spellEnd"/>
                  <w:r>
                    <w:t xml:space="preserve"> of Response terug te sturen:</w:t>
                  </w:r>
                </w:p>
                <w:p w14:paraId="2F30D4B0" w14:textId="788460A6" w:rsidR="002E1F5D" w:rsidRPr="002D15DB" w:rsidRDefault="002E1F5D" w:rsidP="002E1F5D">
                  <w:pPr>
                    <w:rPr>
                      <w:rFonts w:ascii="Daytona" w:hAnsi="Daytona" w:cstheme="minorHAnsi"/>
                      <w:sz w:val="20"/>
                      <w:lang w:val="en-GB"/>
                    </w:rPr>
                  </w:pPr>
                  <w:proofErr w:type="spellStart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>Foutcode</w:t>
                  </w:r>
                  <w:proofErr w:type="spellEnd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: </w:t>
                  </w:r>
                  <w:r w:rsidR="003517EB">
                    <w:rPr>
                      <w:rFonts w:ascii="Daytona" w:hAnsi="Daytona" w:cstheme="minorHAnsi"/>
                      <w:sz w:val="20"/>
                      <w:lang w:val="en-GB"/>
                    </w:rPr>
                    <w:t>701</w:t>
                  </w:r>
                </w:p>
                <w:p w14:paraId="7F5C2AD1" w14:textId="6DF3564C" w:rsidR="002E1F5D" w:rsidRDefault="002E1F5D" w:rsidP="002E1F5D">
                  <w:proofErr w:type="spellStart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>Foutmelding</w:t>
                  </w:r>
                  <w:proofErr w:type="spellEnd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: </w:t>
                  </w:r>
                  <w:r w:rsidR="00D36459" w:rsidRPr="00D36459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De </w:t>
                  </w:r>
                  <w:proofErr w:type="spellStart"/>
                  <w:r w:rsidR="00D36459" w:rsidRPr="00D36459">
                    <w:rPr>
                      <w:rFonts w:ascii="Daytona" w:hAnsi="Daytona" w:cstheme="minorHAnsi"/>
                      <w:sz w:val="20"/>
                      <w:lang w:val="en-GB"/>
                    </w:rPr>
                    <w:t>senderID</w:t>
                  </w:r>
                  <w:proofErr w:type="spellEnd"/>
                  <w:r w:rsidR="00D36459" w:rsidRPr="00D36459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 in de SOAP Header is </w:t>
                  </w:r>
                  <w:proofErr w:type="spellStart"/>
                  <w:r w:rsidR="00D36459" w:rsidRPr="00D36459">
                    <w:rPr>
                      <w:rFonts w:ascii="Daytona" w:hAnsi="Daytona" w:cstheme="minorHAnsi"/>
                      <w:sz w:val="20"/>
                      <w:lang w:val="en-GB"/>
                    </w:rPr>
                    <w:t>niet</w:t>
                  </w:r>
                  <w:proofErr w:type="spellEnd"/>
                  <w:r w:rsidR="00D36459" w:rsidRPr="00D36459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 </w:t>
                  </w:r>
                  <w:proofErr w:type="spellStart"/>
                  <w:r w:rsidR="00D36459" w:rsidRPr="00D36459">
                    <w:rPr>
                      <w:rFonts w:ascii="Daytona" w:hAnsi="Daytona" w:cstheme="minorHAnsi"/>
                      <w:sz w:val="20"/>
                      <w:lang w:val="en-GB"/>
                    </w:rPr>
                    <w:t>gelijk</w:t>
                  </w:r>
                  <w:proofErr w:type="spellEnd"/>
                  <w:r w:rsidR="00D36459" w:rsidRPr="00D36459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 aan de </w:t>
                  </w:r>
                  <w:proofErr w:type="spellStart"/>
                  <w:r w:rsidR="00D36459" w:rsidRPr="00D36459">
                    <w:rPr>
                      <w:rFonts w:ascii="Daytona" w:hAnsi="Daytona" w:cstheme="minorHAnsi"/>
                      <w:sz w:val="20"/>
                      <w:lang w:val="en-GB"/>
                    </w:rPr>
                    <w:t>SenderID</w:t>
                  </w:r>
                  <w:proofErr w:type="spellEnd"/>
                  <w:r w:rsidR="00D36459" w:rsidRPr="00D36459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 in de Business Document Header.</w:t>
                  </w:r>
                </w:p>
              </w:tc>
            </w:tr>
            <w:tr w:rsidR="002E1F5D" w14:paraId="5D2F60B2" w14:textId="77777777" w:rsidTr="00B82FA3">
              <w:tc>
                <w:tcPr>
                  <w:tcW w:w="1754" w:type="dxa"/>
                </w:tcPr>
                <w:p w14:paraId="6DBF52DB" w14:textId="77777777" w:rsidR="002E1F5D" w:rsidRDefault="002E1F5D" w:rsidP="002E1F5D">
                  <w:r>
                    <w:t>Verloop</w:t>
                  </w:r>
                </w:p>
              </w:tc>
              <w:tc>
                <w:tcPr>
                  <w:tcW w:w="5816" w:type="dxa"/>
                </w:tcPr>
                <w:p w14:paraId="5FDA850E" w14:textId="6A481988" w:rsidR="002E1F5D" w:rsidRDefault="002E1F5D" w:rsidP="002E1F5D">
                  <w:r>
                    <w:t xml:space="preserve">Zender ontvangt de foutcode/foutmelding in de </w:t>
                  </w:r>
                  <w:proofErr w:type="spellStart"/>
                  <w:r>
                    <w:t>Acknowledgement</w:t>
                  </w:r>
                  <w:proofErr w:type="spellEnd"/>
                  <w:r>
                    <w:t xml:space="preserve"> of Response en dient deze fout te herstellen alvorens het XML bericht opnieuw te versturen. </w:t>
                  </w:r>
                </w:p>
              </w:tc>
            </w:tr>
          </w:tbl>
          <w:p w14:paraId="22324C3F" w14:textId="4E0D9679" w:rsidR="005F4FD2" w:rsidRDefault="005F4FD2" w:rsidP="005F4FD2"/>
          <w:p w14:paraId="2E4DBC67" w14:textId="77777777" w:rsidR="00092CFD" w:rsidRDefault="00092CFD" w:rsidP="00092CFD"/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4"/>
              <w:gridCol w:w="5816"/>
            </w:tblGrid>
            <w:tr w:rsidR="00092CFD" w14:paraId="26A3BDB5" w14:textId="77777777" w:rsidTr="00164EA4">
              <w:tc>
                <w:tcPr>
                  <w:tcW w:w="7570" w:type="dxa"/>
                  <w:gridSpan w:val="2"/>
                </w:tcPr>
                <w:p w14:paraId="77417EA0" w14:textId="12CE2A06" w:rsidR="00092CFD" w:rsidRDefault="00E21DE5" w:rsidP="003E6CC6">
                  <w:pPr>
                    <w:pStyle w:val="KopjeRFC"/>
                  </w:pPr>
                  <w:r>
                    <w:rPr>
                      <w:szCs w:val="18"/>
                    </w:rPr>
                    <w:t>Is de ontvanger in de SOAP header identiek aan die in de SOAP body</w:t>
                  </w:r>
                  <w:r w:rsidR="003E6CC6" w:rsidRPr="003E6CC6">
                    <w:rPr>
                      <w:szCs w:val="18"/>
                    </w:rPr>
                    <w:t>?</w:t>
                  </w:r>
                </w:p>
              </w:tc>
            </w:tr>
            <w:tr w:rsidR="00092CFD" w14:paraId="076EA64C" w14:textId="77777777" w:rsidTr="00164EA4">
              <w:tc>
                <w:tcPr>
                  <w:tcW w:w="1754" w:type="dxa"/>
                </w:tcPr>
                <w:p w14:paraId="72B18CB6" w14:textId="77777777" w:rsidR="00092CFD" w:rsidRDefault="00092CFD" w:rsidP="00092CFD">
                  <w:r>
                    <w:t>Omschrijving</w:t>
                  </w:r>
                </w:p>
              </w:tc>
              <w:tc>
                <w:tcPr>
                  <w:tcW w:w="5816" w:type="dxa"/>
                </w:tcPr>
                <w:p w14:paraId="207018A8" w14:textId="5285BF8E" w:rsidR="00092CFD" w:rsidRDefault="005B3188" w:rsidP="00092CFD">
                  <w:r>
                    <w:t xml:space="preserve">Er </w:t>
                  </w:r>
                  <w:r w:rsidR="00092CFD">
                    <w:t xml:space="preserve">wordt gecontroleerd of de EAN ontvanger in de SOAP header en in de </w:t>
                  </w:r>
                  <w:r w:rsidR="00D12B4B">
                    <w:t xml:space="preserve">SOAP body </w:t>
                  </w:r>
                  <w:r w:rsidR="00092CFD">
                    <w:t>identiek zijn.</w:t>
                  </w:r>
                </w:p>
              </w:tc>
            </w:tr>
            <w:tr w:rsidR="00092CFD" w14:paraId="2A9AB425" w14:textId="77777777" w:rsidTr="00164EA4">
              <w:tc>
                <w:tcPr>
                  <w:tcW w:w="1754" w:type="dxa"/>
                </w:tcPr>
                <w:p w14:paraId="3AEE6D1A" w14:textId="77777777" w:rsidR="00092CFD" w:rsidRDefault="00092CFD" w:rsidP="00092CFD">
                  <w:r>
                    <w:t>Resultaat</w:t>
                  </w:r>
                </w:p>
              </w:tc>
              <w:tc>
                <w:tcPr>
                  <w:tcW w:w="5816" w:type="dxa"/>
                </w:tcPr>
                <w:p w14:paraId="67DC60D3" w14:textId="585CA9D2" w:rsidR="00092CFD" w:rsidRDefault="00092CFD" w:rsidP="00092CFD">
                  <w:r>
                    <w:t xml:space="preserve">Indien de </w:t>
                  </w:r>
                  <w:proofErr w:type="spellStart"/>
                  <w:r>
                    <w:t>EANs</w:t>
                  </w:r>
                  <w:proofErr w:type="spellEnd"/>
                  <w:r>
                    <w:t xml:space="preserve"> in de SOAP header en in de </w:t>
                  </w:r>
                  <w:r w:rsidR="003F308F">
                    <w:t xml:space="preserve">SOAP body </w:t>
                  </w:r>
                  <w:r w:rsidRPr="00C60DFF">
                    <w:rPr>
                      <w:b/>
                      <w:bCs/>
                    </w:rPr>
                    <w:t>identiek</w:t>
                  </w:r>
                  <w:r>
                    <w:t xml:space="preserve"> zijn, dan kan het bericht door de ontvanger in behandeling worden genomen. Indien ontvanger </w:t>
                  </w:r>
                  <w:proofErr w:type="spellStart"/>
                  <w:r>
                    <w:t>EANs</w:t>
                  </w:r>
                  <w:proofErr w:type="spellEnd"/>
                  <w:r>
                    <w:t xml:space="preserve"> </w:t>
                  </w:r>
                  <w:r w:rsidRPr="00C60DFF">
                    <w:rPr>
                      <w:b/>
                      <w:bCs/>
                    </w:rPr>
                    <w:t>niet identiek</w:t>
                  </w:r>
                  <w:r>
                    <w:t xml:space="preserve"> zijn, dan dient de ontvanger de volgende foutcode/foutmelding in de </w:t>
                  </w:r>
                  <w:proofErr w:type="spellStart"/>
                  <w:r>
                    <w:t>Acknowledgement</w:t>
                  </w:r>
                  <w:proofErr w:type="spellEnd"/>
                  <w:r>
                    <w:t xml:space="preserve"> of Response </w:t>
                  </w:r>
                  <w:r>
                    <w:lastRenderedPageBreak/>
                    <w:t>terug te sturen:</w:t>
                  </w:r>
                </w:p>
                <w:p w14:paraId="0C7B6B74" w14:textId="26901BF9" w:rsidR="00092CFD" w:rsidRPr="002D15DB" w:rsidRDefault="00092CFD" w:rsidP="00092CFD">
                  <w:pPr>
                    <w:rPr>
                      <w:rFonts w:ascii="Daytona" w:hAnsi="Daytona" w:cstheme="minorHAnsi"/>
                      <w:sz w:val="20"/>
                      <w:lang w:val="en-GB"/>
                    </w:rPr>
                  </w:pPr>
                  <w:proofErr w:type="spellStart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>Foutcode</w:t>
                  </w:r>
                  <w:proofErr w:type="spellEnd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: </w:t>
                  </w:r>
                  <w:r w:rsidR="003C1D92">
                    <w:rPr>
                      <w:rFonts w:ascii="Daytona" w:hAnsi="Daytona" w:cstheme="minorHAnsi"/>
                      <w:sz w:val="20"/>
                      <w:lang w:val="en-GB"/>
                    </w:rPr>
                    <w:t>745</w:t>
                  </w:r>
                </w:p>
                <w:p w14:paraId="75D5EAB9" w14:textId="5052F7B4" w:rsidR="00092CFD" w:rsidRDefault="00092CFD" w:rsidP="00092CFD">
                  <w:proofErr w:type="spellStart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>Foutmelding</w:t>
                  </w:r>
                  <w:proofErr w:type="spellEnd"/>
                  <w:r w:rsidRPr="002D15DB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: </w:t>
                  </w:r>
                  <w:r w:rsidR="006F6B78" w:rsidRPr="006F6B78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De </w:t>
                  </w:r>
                  <w:proofErr w:type="spellStart"/>
                  <w:r w:rsidR="006F6B78" w:rsidRPr="006F6B78">
                    <w:rPr>
                      <w:rFonts w:ascii="Daytona" w:hAnsi="Daytona" w:cstheme="minorHAnsi"/>
                      <w:sz w:val="20"/>
                      <w:lang w:val="en-GB"/>
                    </w:rPr>
                    <w:t>receiverID</w:t>
                  </w:r>
                  <w:proofErr w:type="spellEnd"/>
                  <w:r w:rsidR="006F6B78" w:rsidRPr="006F6B78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 in de SOAP Header is </w:t>
                  </w:r>
                  <w:proofErr w:type="spellStart"/>
                  <w:r w:rsidR="006F6B78" w:rsidRPr="006F6B78">
                    <w:rPr>
                      <w:rFonts w:ascii="Daytona" w:hAnsi="Daytona" w:cstheme="minorHAnsi"/>
                      <w:sz w:val="20"/>
                      <w:lang w:val="en-GB"/>
                    </w:rPr>
                    <w:t>niet</w:t>
                  </w:r>
                  <w:proofErr w:type="spellEnd"/>
                  <w:r w:rsidR="006F6B78" w:rsidRPr="006F6B78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 </w:t>
                  </w:r>
                  <w:proofErr w:type="spellStart"/>
                  <w:r w:rsidR="006F6B78" w:rsidRPr="006F6B78">
                    <w:rPr>
                      <w:rFonts w:ascii="Daytona" w:hAnsi="Daytona" w:cstheme="minorHAnsi"/>
                      <w:sz w:val="20"/>
                      <w:lang w:val="en-GB"/>
                    </w:rPr>
                    <w:t>gelijk</w:t>
                  </w:r>
                  <w:proofErr w:type="spellEnd"/>
                  <w:r w:rsidR="006F6B78" w:rsidRPr="006F6B78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 aan de </w:t>
                  </w:r>
                  <w:proofErr w:type="spellStart"/>
                  <w:r w:rsidR="006F6B78" w:rsidRPr="006F6B78">
                    <w:rPr>
                      <w:rFonts w:ascii="Daytona" w:hAnsi="Daytona" w:cstheme="minorHAnsi"/>
                      <w:sz w:val="20"/>
                      <w:lang w:val="en-GB"/>
                    </w:rPr>
                    <w:t>ReceiverID</w:t>
                  </w:r>
                  <w:proofErr w:type="spellEnd"/>
                  <w:r w:rsidR="006F6B78" w:rsidRPr="006F6B78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 in de Business Document Header.</w:t>
                  </w:r>
                </w:p>
              </w:tc>
            </w:tr>
            <w:tr w:rsidR="00092CFD" w14:paraId="0DCA5CC4" w14:textId="77777777" w:rsidTr="00164EA4">
              <w:tc>
                <w:tcPr>
                  <w:tcW w:w="1754" w:type="dxa"/>
                </w:tcPr>
                <w:p w14:paraId="0BFDA984" w14:textId="77777777" w:rsidR="00092CFD" w:rsidRDefault="00092CFD" w:rsidP="00092CFD">
                  <w:r>
                    <w:lastRenderedPageBreak/>
                    <w:t>Verloop</w:t>
                  </w:r>
                </w:p>
              </w:tc>
              <w:tc>
                <w:tcPr>
                  <w:tcW w:w="5816" w:type="dxa"/>
                </w:tcPr>
                <w:p w14:paraId="1D5CD7AA" w14:textId="3DE43D6E" w:rsidR="00092CFD" w:rsidRDefault="00092CFD" w:rsidP="00092CFD">
                  <w:r>
                    <w:t xml:space="preserve">Zender ontvangt de foutcode/foutmelding in de </w:t>
                  </w:r>
                  <w:proofErr w:type="spellStart"/>
                  <w:r>
                    <w:t>Acknowledgement</w:t>
                  </w:r>
                  <w:proofErr w:type="spellEnd"/>
                  <w:r>
                    <w:t xml:space="preserve"> of Response en dient deze fout te herstellen alvorens het XML bericht opnieuw te versturen. </w:t>
                  </w:r>
                </w:p>
              </w:tc>
            </w:tr>
          </w:tbl>
          <w:p w14:paraId="27559409" w14:textId="77777777" w:rsidR="00092CFD" w:rsidRDefault="00092CFD" w:rsidP="00092CFD"/>
          <w:p w14:paraId="3EA07FA5" w14:textId="77777777" w:rsidR="00092CFD" w:rsidRDefault="00092CFD" w:rsidP="005F4FD2"/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4"/>
              <w:gridCol w:w="5816"/>
            </w:tblGrid>
            <w:tr w:rsidR="005F4FD2" w14:paraId="6F059431" w14:textId="77777777" w:rsidTr="00C911BF">
              <w:tc>
                <w:tcPr>
                  <w:tcW w:w="7570" w:type="dxa"/>
                  <w:gridSpan w:val="2"/>
                </w:tcPr>
                <w:p w14:paraId="7EA3DA95" w14:textId="0E7F9797" w:rsidR="005F4FD2" w:rsidRDefault="00E21DE5" w:rsidP="005F4FD2">
                  <w:pPr>
                    <w:pStyle w:val="KopjeRFC"/>
                  </w:pPr>
                  <w:r>
                    <w:rPr>
                      <w:szCs w:val="18"/>
                    </w:rPr>
                    <w:t>Zijn contentType in de SOAP header en ProcessTypeID in de SOAP body in lijn met elkaar</w:t>
                  </w:r>
                  <w:r w:rsidR="005F4FD2" w:rsidRPr="002F0402">
                    <w:t>?</w:t>
                  </w:r>
                </w:p>
              </w:tc>
            </w:tr>
            <w:tr w:rsidR="005F4FD2" w14:paraId="687318A4" w14:textId="77777777" w:rsidTr="00C911BF">
              <w:tc>
                <w:tcPr>
                  <w:tcW w:w="1754" w:type="dxa"/>
                </w:tcPr>
                <w:p w14:paraId="441304A0" w14:textId="77777777" w:rsidR="005F4FD2" w:rsidRPr="0000442C" w:rsidRDefault="005F4FD2" w:rsidP="005F4FD2">
                  <w:r w:rsidRPr="0000442C">
                    <w:t>Omschrijving</w:t>
                  </w:r>
                </w:p>
              </w:tc>
              <w:tc>
                <w:tcPr>
                  <w:tcW w:w="5816" w:type="dxa"/>
                </w:tcPr>
                <w:p w14:paraId="28A54C76" w14:textId="47627359" w:rsidR="005F4FD2" w:rsidRPr="0000442C" w:rsidRDefault="005B3188" w:rsidP="005F4FD2">
                  <w:r>
                    <w:t xml:space="preserve">Er </w:t>
                  </w:r>
                  <w:r w:rsidR="005F4FD2" w:rsidRPr="0000442C">
                    <w:t xml:space="preserve">wordt gecontroleerd of </w:t>
                  </w:r>
                  <w:r w:rsidR="008A510F" w:rsidRPr="0000442C">
                    <w:t xml:space="preserve">het </w:t>
                  </w:r>
                  <w:proofErr w:type="spellStart"/>
                  <w:r w:rsidR="008A510F" w:rsidRPr="0000442C">
                    <w:rPr>
                      <w:szCs w:val="18"/>
                    </w:rPr>
                    <w:t>contentType</w:t>
                  </w:r>
                  <w:proofErr w:type="spellEnd"/>
                  <w:r w:rsidR="008A510F" w:rsidRPr="0000442C">
                    <w:rPr>
                      <w:szCs w:val="18"/>
                    </w:rPr>
                    <w:t xml:space="preserve"> in SOAP header en </w:t>
                  </w:r>
                  <w:r w:rsidR="00134E95">
                    <w:rPr>
                      <w:szCs w:val="18"/>
                    </w:rPr>
                    <w:t xml:space="preserve">het </w:t>
                  </w:r>
                  <w:proofErr w:type="spellStart"/>
                  <w:r w:rsidR="008A510F" w:rsidRPr="0000442C">
                    <w:rPr>
                      <w:szCs w:val="18"/>
                    </w:rPr>
                    <w:t>ProcessTypeID</w:t>
                  </w:r>
                  <w:proofErr w:type="spellEnd"/>
                  <w:r w:rsidR="008A510F" w:rsidRPr="0000442C">
                    <w:rPr>
                      <w:szCs w:val="18"/>
                    </w:rPr>
                    <w:t xml:space="preserve"> in </w:t>
                  </w:r>
                  <w:r w:rsidR="00E21DE5">
                    <w:rPr>
                      <w:szCs w:val="18"/>
                    </w:rPr>
                    <w:t>de SOAP body</w:t>
                  </w:r>
                  <w:r w:rsidR="008A510F" w:rsidRPr="0000442C">
                    <w:rPr>
                      <w:szCs w:val="18"/>
                    </w:rPr>
                    <w:t xml:space="preserve"> in lijn </w:t>
                  </w:r>
                  <w:r w:rsidR="00B26A91">
                    <w:rPr>
                      <w:szCs w:val="18"/>
                    </w:rPr>
                    <w:t>zijn</w:t>
                  </w:r>
                  <w:r w:rsidR="004C63BA">
                    <w:rPr>
                      <w:szCs w:val="18"/>
                    </w:rPr>
                    <w:t xml:space="preserve"> </w:t>
                  </w:r>
                  <w:r w:rsidR="008A510F" w:rsidRPr="0000442C">
                    <w:rPr>
                      <w:szCs w:val="18"/>
                    </w:rPr>
                    <w:t>met elkaar</w:t>
                  </w:r>
                  <w:r w:rsidR="005F4FD2" w:rsidRPr="0000442C">
                    <w:t>.</w:t>
                  </w:r>
                </w:p>
              </w:tc>
            </w:tr>
            <w:tr w:rsidR="005F4FD2" w14:paraId="7EA2A894" w14:textId="77777777" w:rsidTr="00C911BF">
              <w:tc>
                <w:tcPr>
                  <w:tcW w:w="1754" w:type="dxa"/>
                </w:tcPr>
                <w:p w14:paraId="22853A40" w14:textId="77777777" w:rsidR="005F4FD2" w:rsidRPr="004F59A1" w:rsidRDefault="005F4FD2" w:rsidP="005F4FD2">
                  <w:r w:rsidRPr="004F59A1">
                    <w:t>Resultaat</w:t>
                  </w:r>
                </w:p>
              </w:tc>
              <w:tc>
                <w:tcPr>
                  <w:tcW w:w="5816" w:type="dxa"/>
                </w:tcPr>
                <w:p w14:paraId="6C186797" w14:textId="5D5000C4" w:rsidR="005F4FD2" w:rsidRPr="004F59A1" w:rsidRDefault="005F4FD2" w:rsidP="005F4FD2">
                  <w:r w:rsidRPr="004F59A1">
                    <w:t xml:space="preserve">Indien </w:t>
                  </w:r>
                  <w:proofErr w:type="spellStart"/>
                  <w:r w:rsidR="00134E95" w:rsidRPr="004F59A1">
                    <w:t>contentType</w:t>
                  </w:r>
                  <w:proofErr w:type="spellEnd"/>
                  <w:r w:rsidR="00134E95" w:rsidRPr="004F59A1">
                    <w:t xml:space="preserve"> </w:t>
                  </w:r>
                  <w:r w:rsidRPr="004F59A1">
                    <w:t xml:space="preserve">en </w:t>
                  </w:r>
                  <w:proofErr w:type="spellStart"/>
                  <w:r w:rsidR="00702267" w:rsidRPr="004F59A1">
                    <w:t>ProcessTypeID</w:t>
                  </w:r>
                  <w:proofErr w:type="spellEnd"/>
                  <w:r w:rsidR="00702267" w:rsidRPr="004F59A1">
                    <w:t xml:space="preserve"> </w:t>
                  </w:r>
                  <w:r w:rsidRPr="00823AE4">
                    <w:rPr>
                      <w:b/>
                      <w:bCs/>
                    </w:rPr>
                    <w:t xml:space="preserve">in </w:t>
                  </w:r>
                  <w:r w:rsidR="00702267" w:rsidRPr="00823AE4">
                    <w:rPr>
                      <w:b/>
                      <w:bCs/>
                    </w:rPr>
                    <w:t>lijn zijn</w:t>
                  </w:r>
                  <w:r w:rsidR="00702267" w:rsidRPr="004F59A1">
                    <w:t xml:space="preserve"> met elkaar</w:t>
                  </w:r>
                  <w:r w:rsidRPr="004F59A1">
                    <w:t xml:space="preserve">, dan kan het bericht door de ontvanger in behandeling worden genomen. Indien </w:t>
                  </w:r>
                  <w:proofErr w:type="spellStart"/>
                  <w:r w:rsidR="00702267" w:rsidRPr="004F59A1">
                    <w:t>contentType</w:t>
                  </w:r>
                  <w:proofErr w:type="spellEnd"/>
                  <w:r w:rsidR="00702267" w:rsidRPr="004F59A1">
                    <w:t xml:space="preserve"> en </w:t>
                  </w:r>
                  <w:proofErr w:type="spellStart"/>
                  <w:r w:rsidR="00702267" w:rsidRPr="004F59A1">
                    <w:t>ProcessTypeID</w:t>
                  </w:r>
                  <w:proofErr w:type="spellEnd"/>
                  <w:r w:rsidR="00702267" w:rsidRPr="004F59A1">
                    <w:t xml:space="preserve"> </w:t>
                  </w:r>
                  <w:r w:rsidR="00702267" w:rsidRPr="00823AE4">
                    <w:rPr>
                      <w:b/>
                      <w:bCs/>
                    </w:rPr>
                    <w:t>niet in lijn zijn</w:t>
                  </w:r>
                  <w:r w:rsidR="00702267" w:rsidRPr="004F59A1">
                    <w:t xml:space="preserve"> met elkaar</w:t>
                  </w:r>
                  <w:r w:rsidRPr="004F59A1">
                    <w:t xml:space="preserve">, dan dient de ontvanger de volgende foutcode/foutmelding in de </w:t>
                  </w:r>
                  <w:proofErr w:type="spellStart"/>
                  <w:r w:rsidRPr="004F59A1">
                    <w:t>Acknowledgement</w:t>
                  </w:r>
                  <w:proofErr w:type="spellEnd"/>
                  <w:r w:rsidRPr="004F59A1">
                    <w:t xml:space="preserve"> of Response terug te sturen:</w:t>
                  </w:r>
                </w:p>
                <w:p w14:paraId="7F4AEA7D" w14:textId="7E877E5D" w:rsidR="005F4FD2" w:rsidRPr="004F59A1" w:rsidRDefault="005F4FD2" w:rsidP="005F4FD2">
                  <w:pPr>
                    <w:rPr>
                      <w:rFonts w:ascii="Daytona" w:hAnsi="Daytona" w:cstheme="minorHAnsi"/>
                      <w:sz w:val="20"/>
                      <w:lang w:val="en-GB"/>
                    </w:rPr>
                  </w:pPr>
                  <w:proofErr w:type="spellStart"/>
                  <w:r w:rsidRPr="004F59A1">
                    <w:rPr>
                      <w:rFonts w:ascii="Daytona" w:hAnsi="Daytona" w:cstheme="minorHAnsi"/>
                      <w:sz w:val="20"/>
                      <w:lang w:val="en-GB"/>
                    </w:rPr>
                    <w:t>Foutcode</w:t>
                  </w:r>
                  <w:proofErr w:type="spellEnd"/>
                  <w:r w:rsidRPr="004F59A1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: </w:t>
                  </w:r>
                  <w:r w:rsidR="000406F7">
                    <w:rPr>
                      <w:rFonts w:ascii="Daytona" w:hAnsi="Daytona" w:cstheme="minorHAnsi"/>
                      <w:sz w:val="20"/>
                      <w:lang w:val="en-GB"/>
                    </w:rPr>
                    <w:t>754</w:t>
                  </w:r>
                </w:p>
                <w:p w14:paraId="7812A722" w14:textId="10881B82" w:rsidR="005F4FD2" w:rsidRPr="004F59A1" w:rsidRDefault="005F4FD2" w:rsidP="005F4FD2">
                  <w:proofErr w:type="spellStart"/>
                  <w:r w:rsidRPr="004F59A1">
                    <w:rPr>
                      <w:rFonts w:ascii="Daytona" w:hAnsi="Daytona" w:cstheme="minorHAnsi"/>
                      <w:sz w:val="20"/>
                      <w:lang w:val="en-GB"/>
                    </w:rPr>
                    <w:t>Foutmelding</w:t>
                  </w:r>
                  <w:proofErr w:type="spellEnd"/>
                  <w:r w:rsidRPr="004F59A1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: </w:t>
                  </w:r>
                  <w:r w:rsidR="000406F7" w:rsidRPr="000406F7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Het </w:t>
                  </w:r>
                  <w:proofErr w:type="spellStart"/>
                  <w:r w:rsidR="000406F7" w:rsidRPr="000406F7">
                    <w:rPr>
                      <w:rFonts w:ascii="Daytona" w:hAnsi="Daytona" w:cstheme="minorHAnsi"/>
                      <w:sz w:val="20"/>
                      <w:lang w:val="en-GB"/>
                    </w:rPr>
                    <w:t>contentType</w:t>
                  </w:r>
                  <w:proofErr w:type="spellEnd"/>
                  <w:r w:rsidR="000406F7" w:rsidRPr="000406F7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 in de SOAP Header is </w:t>
                  </w:r>
                  <w:proofErr w:type="spellStart"/>
                  <w:r w:rsidR="000406F7" w:rsidRPr="000406F7">
                    <w:rPr>
                      <w:rFonts w:ascii="Daytona" w:hAnsi="Daytona" w:cstheme="minorHAnsi"/>
                      <w:sz w:val="20"/>
                      <w:lang w:val="en-GB"/>
                    </w:rPr>
                    <w:t>niet</w:t>
                  </w:r>
                  <w:proofErr w:type="spellEnd"/>
                  <w:r w:rsidR="000406F7" w:rsidRPr="000406F7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 in </w:t>
                  </w:r>
                  <w:proofErr w:type="spellStart"/>
                  <w:r w:rsidR="000406F7" w:rsidRPr="000406F7">
                    <w:rPr>
                      <w:rFonts w:ascii="Daytona" w:hAnsi="Daytona" w:cstheme="minorHAnsi"/>
                      <w:sz w:val="20"/>
                      <w:lang w:val="en-GB"/>
                    </w:rPr>
                    <w:t>lijn</w:t>
                  </w:r>
                  <w:proofErr w:type="spellEnd"/>
                  <w:r w:rsidR="000406F7" w:rsidRPr="000406F7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 met het </w:t>
                  </w:r>
                  <w:proofErr w:type="spellStart"/>
                  <w:r w:rsidR="000406F7" w:rsidRPr="000406F7">
                    <w:rPr>
                      <w:rFonts w:ascii="Daytona" w:hAnsi="Daytona" w:cstheme="minorHAnsi"/>
                      <w:sz w:val="20"/>
                      <w:lang w:val="en-GB"/>
                    </w:rPr>
                    <w:t>ProcessTypeID</w:t>
                  </w:r>
                  <w:proofErr w:type="spellEnd"/>
                  <w:r w:rsidR="000406F7" w:rsidRPr="000406F7">
                    <w:rPr>
                      <w:rFonts w:ascii="Daytona" w:hAnsi="Daytona" w:cstheme="minorHAnsi"/>
                      <w:sz w:val="20"/>
                      <w:lang w:val="en-GB"/>
                    </w:rPr>
                    <w:t xml:space="preserve"> in de Business Document Header.</w:t>
                  </w:r>
                </w:p>
              </w:tc>
            </w:tr>
            <w:tr w:rsidR="005F4FD2" w14:paraId="19247E24" w14:textId="77777777" w:rsidTr="00C911BF">
              <w:tc>
                <w:tcPr>
                  <w:tcW w:w="1754" w:type="dxa"/>
                </w:tcPr>
                <w:p w14:paraId="412A1EE4" w14:textId="77777777" w:rsidR="005F4FD2" w:rsidRPr="004F59A1" w:rsidRDefault="005F4FD2" w:rsidP="005F4FD2">
                  <w:r w:rsidRPr="004F59A1">
                    <w:t>Verloop</w:t>
                  </w:r>
                </w:p>
              </w:tc>
              <w:tc>
                <w:tcPr>
                  <w:tcW w:w="5816" w:type="dxa"/>
                </w:tcPr>
                <w:p w14:paraId="07EFE4AD" w14:textId="30321EBC" w:rsidR="005F4FD2" w:rsidRPr="004F59A1" w:rsidRDefault="005F4FD2" w:rsidP="005F4FD2">
                  <w:r w:rsidRPr="004F59A1">
                    <w:t xml:space="preserve">Zender ontvangt de foutcode/foutmelding in de </w:t>
                  </w:r>
                  <w:proofErr w:type="spellStart"/>
                  <w:r w:rsidRPr="004F59A1">
                    <w:t>Acknowledgement</w:t>
                  </w:r>
                  <w:proofErr w:type="spellEnd"/>
                  <w:r w:rsidRPr="004F59A1">
                    <w:t xml:space="preserve"> of Response en dient deze fout te herstellen alvorens het XML bericht opnieuw te versturen. </w:t>
                  </w:r>
                </w:p>
              </w:tc>
            </w:tr>
          </w:tbl>
          <w:p w14:paraId="2807F4E2" w14:textId="77777777" w:rsidR="005F4FD2" w:rsidRDefault="005F4FD2" w:rsidP="005F4FD2"/>
          <w:p w14:paraId="2853640F" w14:textId="77777777" w:rsidR="005F4FD2" w:rsidRDefault="005F4FD2" w:rsidP="002E1F5D"/>
          <w:p w14:paraId="7EF08672" w14:textId="67DA47A3" w:rsidR="0045229C" w:rsidRDefault="000D1B62" w:rsidP="000D1B62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De volgende </w:t>
            </w:r>
            <w:r w:rsidR="0045229C">
              <w:rPr>
                <w:szCs w:val="18"/>
              </w:rPr>
              <w:t xml:space="preserve">aanpassing dient te worden doorgevoerd in de </w:t>
            </w:r>
            <w:r w:rsidR="0045229C" w:rsidRPr="00A91597">
              <w:rPr>
                <w:szCs w:val="18"/>
              </w:rPr>
              <w:t xml:space="preserve">TR2021 </w:t>
            </w:r>
            <w:proofErr w:type="spellStart"/>
            <w:r w:rsidR="0045229C" w:rsidRPr="00A91597">
              <w:rPr>
                <w:szCs w:val="18"/>
              </w:rPr>
              <w:t>Acknowledgement</w:t>
            </w:r>
            <w:proofErr w:type="spellEnd"/>
            <w:r w:rsidR="0045229C" w:rsidRPr="00A91597">
              <w:rPr>
                <w:szCs w:val="18"/>
              </w:rPr>
              <w:t xml:space="preserve"> en Response berichtdefinities</w:t>
            </w:r>
            <w:r w:rsidR="0074256C">
              <w:rPr>
                <w:szCs w:val="18"/>
              </w:rPr>
              <w:t xml:space="preserve"> en </w:t>
            </w:r>
            <w:r w:rsidR="004D77AC">
              <w:rPr>
                <w:szCs w:val="18"/>
              </w:rPr>
              <w:t xml:space="preserve">dient </w:t>
            </w:r>
            <w:r w:rsidR="0074256C">
              <w:rPr>
                <w:szCs w:val="18"/>
              </w:rPr>
              <w:t>gedo</w:t>
            </w:r>
            <w:r w:rsidR="004D77AC">
              <w:rPr>
                <w:szCs w:val="18"/>
              </w:rPr>
              <w:t xml:space="preserve">cumenteerd </w:t>
            </w:r>
            <w:r w:rsidR="0074256C">
              <w:rPr>
                <w:szCs w:val="18"/>
              </w:rPr>
              <w:t xml:space="preserve">e worden in de </w:t>
            </w:r>
            <w:r w:rsidR="004D77AC">
              <w:rPr>
                <w:szCs w:val="18"/>
              </w:rPr>
              <w:t>TR2021 servicebeschrijvingen</w:t>
            </w:r>
            <w:r w:rsidR="0045229C">
              <w:rPr>
                <w:szCs w:val="18"/>
              </w:rPr>
              <w:t>:</w:t>
            </w:r>
          </w:p>
          <w:p w14:paraId="4788C66D" w14:textId="0596EC78" w:rsidR="00770566" w:rsidRPr="00E91172" w:rsidRDefault="00E81FF6" w:rsidP="00E91172">
            <w:pPr>
              <w:pStyle w:val="Lijstalinea"/>
              <w:numPr>
                <w:ilvl w:val="0"/>
                <w:numId w:val="17"/>
              </w:numPr>
              <w:snapToGrid w:val="0"/>
              <w:rPr>
                <w:szCs w:val="22"/>
              </w:rPr>
            </w:pPr>
            <w:r w:rsidRPr="00E91172">
              <w:rPr>
                <w:szCs w:val="18"/>
              </w:rPr>
              <w:t xml:space="preserve">attribuut </w:t>
            </w:r>
            <w:proofErr w:type="spellStart"/>
            <w:r w:rsidR="001E067F" w:rsidRPr="00E91172">
              <w:rPr>
                <w:i/>
                <w:iCs/>
                <w:szCs w:val="22"/>
              </w:rPr>
              <w:t>Received_MarketDocument.mRID</w:t>
            </w:r>
            <w:proofErr w:type="spellEnd"/>
            <w:r w:rsidR="001E067F" w:rsidRPr="00E91172">
              <w:rPr>
                <w:szCs w:val="22"/>
              </w:rPr>
              <w:t xml:space="preserve"> </w:t>
            </w:r>
            <w:r w:rsidR="00164E9B" w:rsidRPr="00E91172">
              <w:rPr>
                <w:szCs w:val="22"/>
              </w:rPr>
              <w:t>wijzigen van verplicht naar optioneel.</w:t>
            </w:r>
          </w:p>
          <w:p w14:paraId="2DD5441A" w14:textId="04EB076E" w:rsidR="00203610" w:rsidRPr="00A91597" w:rsidRDefault="00203610" w:rsidP="005F0738">
            <w:pPr>
              <w:snapToGrid w:val="0"/>
              <w:rPr>
                <w:szCs w:val="22"/>
              </w:rPr>
            </w:pPr>
          </w:p>
        </w:tc>
      </w:tr>
      <w:tr w:rsidR="00693F78" w:rsidRPr="00B632BB" w14:paraId="716CF3B1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14A13210" w14:textId="77777777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lastRenderedPageBreak/>
              <w:t xml:space="preserve">Impact op welk document </w:t>
            </w:r>
          </w:p>
          <w:p w14:paraId="070A40BF" w14:textId="77777777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 w:val="14"/>
                <w:szCs w:val="18"/>
              </w:rPr>
              <w:t>(MPM/DPM, SB, BRD, …)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8C16" w14:textId="7C10975A" w:rsidR="002943CD" w:rsidRPr="00F566BA" w:rsidRDefault="00F7590D" w:rsidP="00F566BA">
            <w:pPr>
              <w:pStyle w:val="Lijstalinea"/>
              <w:numPr>
                <w:ilvl w:val="0"/>
                <w:numId w:val="18"/>
              </w:numPr>
              <w:snapToGrid w:val="0"/>
              <w:rPr>
                <w:szCs w:val="18"/>
              </w:rPr>
            </w:pPr>
            <w:r w:rsidRPr="00F566BA">
              <w:rPr>
                <w:szCs w:val="18"/>
              </w:rPr>
              <w:t xml:space="preserve">Het aanpassen van de </w:t>
            </w:r>
            <w:r w:rsidR="002943CD" w:rsidRPr="00F566BA">
              <w:rPr>
                <w:szCs w:val="18"/>
              </w:rPr>
              <w:t>volgende</w:t>
            </w:r>
            <w:r w:rsidRPr="00F566BA">
              <w:rPr>
                <w:szCs w:val="18"/>
              </w:rPr>
              <w:t xml:space="preserve"> </w:t>
            </w:r>
            <w:r w:rsidR="002943CD" w:rsidRPr="00F566BA">
              <w:rPr>
                <w:szCs w:val="18"/>
              </w:rPr>
              <w:t xml:space="preserve">business </w:t>
            </w:r>
            <w:r w:rsidR="00330633" w:rsidRPr="00F566BA">
              <w:rPr>
                <w:szCs w:val="18"/>
              </w:rPr>
              <w:t>s</w:t>
            </w:r>
            <w:r w:rsidR="005F0738" w:rsidRPr="00F566BA">
              <w:rPr>
                <w:szCs w:val="18"/>
              </w:rPr>
              <w:t>ervicebeschrijving</w:t>
            </w:r>
            <w:r w:rsidR="002943CD" w:rsidRPr="00F566BA">
              <w:rPr>
                <w:szCs w:val="18"/>
              </w:rPr>
              <w:t>en:</w:t>
            </w:r>
          </w:p>
          <w:p w14:paraId="648C36F7" w14:textId="1196C71A" w:rsidR="00693F78" w:rsidRPr="00431BA1" w:rsidRDefault="002943CD" w:rsidP="002943CD">
            <w:pPr>
              <w:pStyle w:val="Lijstalinea"/>
              <w:numPr>
                <w:ilvl w:val="0"/>
                <w:numId w:val="12"/>
              </w:numPr>
              <w:snapToGrid w:val="0"/>
            </w:pPr>
            <w:r w:rsidRPr="00431BA1">
              <w:t xml:space="preserve">Business servicebeschrijving </w:t>
            </w:r>
            <w:r w:rsidR="005D330C" w:rsidRPr="00431BA1">
              <w:t>Uitwisselen meetgegevens tijdseries</w:t>
            </w:r>
            <w:r w:rsidR="00C96878">
              <w:t xml:space="preserve"> [6]</w:t>
            </w:r>
            <w:r w:rsidRPr="00431BA1">
              <w:t>;</w:t>
            </w:r>
          </w:p>
          <w:p w14:paraId="5608189E" w14:textId="7F1A795D" w:rsidR="008B4489" w:rsidRPr="00431BA1" w:rsidRDefault="00764884" w:rsidP="002943CD">
            <w:pPr>
              <w:pStyle w:val="Lijstalinea"/>
              <w:numPr>
                <w:ilvl w:val="0"/>
                <w:numId w:val="12"/>
              </w:numPr>
              <w:snapToGrid w:val="0"/>
            </w:pPr>
            <w:r w:rsidRPr="00431BA1">
              <w:t>Business servicebeschrijving Uitwisselen meetgegevens volumes installatie</w:t>
            </w:r>
            <w:r w:rsidR="00C96878">
              <w:t xml:space="preserve"> [7]</w:t>
            </w:r>
            <w:r w:rsidR="002943CD" w:rsidRPr="00431BA1">
              <w:t>;</w:t>
            </w:r>
          </w:p>
          <w:p w14:paraId="1DB8FF9A" w14:textId="24012FC3" w:rsidR="00764884" w:rsidRPr="00431BA1" w:rsidRDefault="00764884" w:rsidP="002943CD">
            <w:pPr>
              <w:pStyle w:val="Lijstalinea"/>
              <w:numPr>
                <w:ilvl w:val="0"/>
                <w:numId w:val="12"/>
              </w:numPr>
              <w:snapToGrid w:val="0"/>
            </w:pPr>
            <w:r w:rsidRPr="00431BA1">
              <w:t>Business servicebeschrijving Uitwisselen meetgegevens volumes en meterstanden</w:t>
            </w:r>
            <w:r w:rsidR="00C96878">
              <w:t xml:space="preserve"> [8]</w:t>
            </w:r>
            <w:r w:rsidR="002943CD" w:rsidRPr="00431BA1">
              <w:t>;</w:t>
            </w:r>
          </w:p>
          <w:p w14:paraId="32ECE3E4" w14:textId="3558DBC7" w:rsidR="008B4489" w:rsidRPr="00203610" w:rsidRDefault="00764884" w:rsidP="002943CD">
            <w:pPr>
              <w:pStyle w:val="Lijstalinea"/>
              <w:numPr>
                <w:ilvl w:val="0"/>
                <w:numId w:val="12"/>
              </w:numPr>
              <w:snapToGrid w:val="0"/>
              <w:rPr>
                <w:szCs w:val="18"/>
              </w:rPr>
            </w:pPr>
            <w:r w:rsidRPr="00431BA1">
              <w:t>Business servicebeschrijving Uitwisselen herzieningsverzoeken</w:t>
            </w:r>
            <w:r w:rsidR="00C96878">
              <w:t xml:space="preserve"> [9]</w:t>
            </w:r>
            <w:r w:rsidR="002943CD" w:rsidRPr="00431BA1">
              <w:t>.</w:t>
            </w:r>
          </w:p>
          <w:p w14:paraId="78DD08B5" w14:textId="77777777" w:rsidR="00E91172" w:rsidRDefault="00E91172" w:rsidP="00E91172">
            <w:pPr>
              <w:snapToGrid w:val="0"/>
              <w:rPr>
                <w:szCs w:val="18"/>
              </w:rPr>
            </w:pPr>
          </w:p>
          <w:p w14:paraId="14755FEF" w14:textId="4CF47EC6" w:rsidR="00E91172" w:rsidRPr="00431BA1" w:rsidRDefault="00E91172" w:rsidP="00F566BA">
            <w:pPr>
              <w:pStyle w:val="Lijstalinea"/>
              <w:numPr>
                <w:ilvl w:val="0"/>
                <w:numId w:val="18"/>
              </w:numPr>
              <w:snapToGrid w:val="0"/>
            </w:pPr>
            <w:r w:rsidRPr="00F566BA">
              <w:rPr>
                <w:szCs w:val="18"/>
              </w:rPr>
              <w:t xml:space="preserve">Aanpassen van de volgende </w:t>
            </w:r>
            <w:proofErr w:type="spellStart"/>
            <w:r w:rsidRPr="00431BA1">
              <w:t>Acknowledgement</w:t>
            </w:r>
            <w:proofErr w:type="spellEnd"/>
            <w:r w:rsidRPr="00431BA1">
              <w:t xml:space="preserve"> en Response berichtdefinities:</w:t>
            </w:r>
          </w:p>
          <w:p w14:paraId="75EE16F5" w14:textId="2EAAA8B9" w:rsidR="00E91172" w:rsidRPr="00431BA1" w:rsidRDefault="00E91172" w:rsidP="00E91172">
            <w:pPr>
              <w:pStyle w:val="Lijstalinea"/>
              <w:numPr>
                <w:ilvl w:val="0"/>
                <w:numId w:val="11"/>
              </w:numPr>
              <w:snapToGrid w:val="0"/>
            </w:pPr>
            <w:proofErr w:type="spellStart"/>
            <w:r w:rsidRPr="00431BA1">
              <w:t>MeasurementSeriesAcknowledgement</w:t>
            </w:r>
            <w:proofErr w:type="spellEnd"/>
            <w:r w:rsidR="00C96878">
              <w:t xml:space="preserve"> [1]</w:t>
            </w:r>
            <w:r w:rsidRPr="00431BA1">
              <w:t>;</w:t>
            </w:r>
          </w:p>
          <w:p w14:paraId="49F3AB9D" w14:textId="2C096545" w:rsidR="00E91172" w:rsidRPr="00431BA1" w:rsidRDefault="00E91172" w:rsidP="00E91172">
            <w:pPr>
              <w:pStyle w:val="Lijstalinea"/>
              <w:numPr>
                <w:ilvl w:val="0"/>
                <w:numId w:val="11"/>
              </w:numPr>
              <w:snapToGrid w:val="0"/>
            </w:pPr>
            <w:proofErr w:type="spellStart"/>
            <w:r w:rsidRPr="00431BA1">
              <w:lastRenderedPageBreak/>
              <w:t>VolumeInstallationSeriesAcknowledgement</w:t>
            </w:r>
            <w:proofErr w:type="spellEnd"/>
            <w:r w:rsidR="00C96878">
              <w:t xml:space="preserve"> [2]</w:t>
            </w:r>
            <w:r w:rsidRPr="00431BA1">
              <w:t>;</w:t>
            </w:r>
          </w:p>
          <w:p w14:paraId="240B948E" w14:textId="1996695F" w:rsidR="00E91172" w:rsidRPr="00431BA1" w:rsidRDefault="00E91172" w:rsidP="00E91172">
            <w:pPr>
              <w:pStyle w:val="Lijstalinea"/>
              <w:numPr>
                <w:ilvl w:val="0"/>
                <w:numId w:val="11"/>
              </w:numPr>
              <w:snapToGrid w:val="0"/>
            </w:pPr>
            <w:proofErr w:type="spellStart"/>
            <w:r w:rsidRPr="00431BA1">
              <w:t>VolumeSeriesAcknowledgement</w:t>
            </w:r>
            <w:proofErr w:type="spellEnd"/>
            <w:r w:rsidR="00C96878">
              <w:t xml:space="preserve"> [3]</w:t>
            </w:r>
            <w:r w:rsidRPr="00431BA1">
              <w:t>;</w:t>
            </w:r>
          </w:p>
          <w:p w14:paraId="6B4EE25A" w14:textId="5374D7F8" w:rsidR="00E91172" w:rsidRPr="00431BA1" w:rsidRDefault="00E91172" w:rsidP="00E91172">
            <w:pPr>
              <w:pStyle w:val="Lijstalinea"/>
              <w:numPr>
                <w:ilvl w:val="0"/>
                <w:numId w:val="11"/>
              </w:numPr>
              <w:snapToGrid w:val="0"/>
            </w:pPr>
            <w:proofErr w:type="spellStart"/>
            <w:r w:rsidRPr="00431BA1">
              <w:t>MeasurementSeriesRevisionResponse</w:t>
            </w:r>
            <w:proofErr w:type="spellEnd"/>
            <w:r w:rsidR="00C96878">
              <w:t xml:space="preserve"> [4]</w:t>
            </w:r>
            <w:r w:rsidRPr="00431BA1">
              <w:t>;</w:t>
            </w:r>
          </w:p>
          <w:p w14:paraId="2F6283F4" w14:textId="59F3A439" w:rsidR="005967BE" w:rsidRPr="00E91172" w:rsidRDefault="00E91172" w:rsidP="00203610">
            <w:pPr>
              <w:pStyle w:val="Lijstalinea"/>
              <w:numPr>
                <w:ilvl w:val="0"/>
                <w:numId w:val="11"/>
              </w:numPr>
              <w:snapToGrid w:val="0"/>
            </w:pPr>
            <w:proofErr w:type="spellStart"/>
            <w:r w:rsidRPr="00431BA1">
              <w:t>AllocationVolumeRevisionResponse</w:t>
            </w:r>
            <w:proofErr w:type="spellEnd"/>
            <w:r w:rsidR="00C96878">
              <w:t xml:space="preserve"> [5]</w:t>
            </w:r>
            <w:r w:rsidRPr="00431BA1">
              <w:t>.</w:t>
            </w:r>
          </w:p>
        </w:tc>
      </w:tr>
      <w:tr w:rsidR="00764884" w:rsidRPr="00B632BB" w14:paraId="23BFE8E0" w14:textId="77777777" w:rsidTr="008B4489">
        <w:trPr>
          <w:trHeight w:val="143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7BCDB526" w14:textId="77777777" w:rsidR="00764884" w:rsidRPr="00B632BB" w:rsidRDefault="00764884" w:rsidP="00764884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lastRenderedPageBreak/>
              <w:t>Paragraaf/</w:t>
            </w:r>
          </w:p>
          <w:p w14:paraId="1DAB69B8" w14:textId="77777777" w:rsidR="00764884" w:rsidRPr="00B632BB" w:rsidRDefault="00764884" w:rsidP="00764884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pagina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2DF6" w14:textId="77777777" w:rsidR="00E6338F" w:rsidRPr="00E6338F" w:rsidRDefault="00954A35" w:rsidP="00F566BA">
            <w:pPr>
              <w:pStyle w:val="Lijstalinea"/>
              <w:widowControl/>
              <w:numPr>
                <w:ilvl w:val="0"/>
                <w:numId w:val="19"/>
              </w:numPr>
              <w:spacing w:line="252" w:lineRule="auto"/>
              <w:rPr>
                <w:rFonts w:cs="Calibri"/>
                <w:color w:val="000000"/>
                <w:szCs w:val="22"/>
              </w:rPr>
            </w:pPr>
            <w:r w:rsidRPr="00F566BA">
              <w:rPr>
                <w:szCs w:val="18"/>
              </w:rPr>
              <w:t>Wijziging business servicebeschrijvingen</w:t>
            </w:r>
          </w:p>
          <w:p w14:paraId="3EBF435B" w14:textId="4C8696C3" w:rsidR="00E6338F" w:rsidRPr="00E6338F" w:rsidRDefault="00E6338F" w:rsidP="00E6338F">
            <w:pPr>
              <w:snapToGrid w:val="0"/>
              <w:rPr>
                <w:szCs w:val="22"/>
              </w:rPr>
            </w:pPr>
            <w:r w:rsidRPr="00E6338F">
              <w:rPr>
                <w:szCs w:val="22"/>
              </w:rPr>
              <w:t xml:space="preserve">Toevoegen set van technische </w:t>
            </w:r>
            <w:proofErr w:type="spellStart"/>
            <w:r w:rsidRPr="00E6338F">
              <w:rPr>
                <w:szCs w:val="22"/>
              </w:rPr>
              <w:t>validaties</w:t>
            </w:r>
            <w:proofErr w:type="spellEnd"/>
            <w:r w:rsidRPr="00E6338F">
              <w:rPr>
                <w:szCs w:val="22"/>
              </w:rPr>
              <w:t xml:space="preserve"> voor het Allocatie 2.0 berichtenverkeer</w:t>
            </w:r>
            <w:r w:rsidR="003460BF">
              <w:rPr>
                <w:szCs w:val="22"/>
              </w:rPr>
              <w:t>.</w:t>
            </w:r>
          </w:p>
          <w:p w14:paraId="1DD9A395" w14:textId="77777777" w:rsidR="001356F8" w:rsidRDefault="001356F8" w:rsidP="003460BF">
            <w:pPr>
              <w:widowControl/>
              <w:spacing w:line="252" w:lineRule="auto"/>
              <w:rPr>
                <w:rFonts w:cs="Calibri"/>
                <w:color w:val="000000"/>
                <w:szCs w:val="22"/>
              </w:rPr>
            </w:pPr>
          </w:p>
          <w:p w14:paraId="0FB20D24" w14:textId="1EFAFD71" w:rsidR="00954A35" w:rsidRPr="003460BF" w:rsidRDefault="00744BDF" w:rsidP="003460BF">
            <w:pPr>
              <w:widowControl/>
              <w:spacing w:line="252" w:lineRule="auto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Kenmerk notificatie bericht (</w:t>
            </w:r>
            <w:proofErr w:type="spellStart"/>
            <w:r w:rsidR="003460BF" w:rsidRPr="003460BF">
              <w:rPr>
                <w:rFonts w:cs="Calibri"/>
                <w:color w:val="000000"/>
                <w:szCs w:val="22"/>
              </w:rPr>
              <w:t>Received_MarketDocument.mRID</w:t>
            </w:r>
            <w:proofErr w:type="spellEnd"/>
            <w:r>
              <w:rPr>
                <w:rFonts w:cs="Calibri"/>
                <w:color w:val="000000"/>
                <w:szCs w:val="22"/>
              </w:rPr>
              <w:t>)</w:t>
            </w:r>
            <w:r w:rsidR="003460BF" w:rsidRPr="003460BF">
              <w:rPr>
                <w:rFonts w:cs="Calibri"/>
                <w:color w:val="000000"/>
                <w:szCs w:val="22"/>
              </w:rPr>
              <w:t xml:space="preserve"> wijzigen van verplicht naar optioneel</w:t>
            </w:r>
            <w:r>
              <w:rPr>
                <w:rFonts w:cs="Calibri"/>
                <w:color w:val="000000"/>
                <w:szCs w:val="22"/>
              </w:rPr>
              <w:t>:</w:t>
            </w: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85"/>
              <w:gridCol w:w="3785"/>
            </w:tblGrid>
            <w:tr w:rsidR="00954A35" w14:paraId="108FF942" w14:textId="77777777" w:rsidTr="00C911BF">
              <w:tc>
                <w:tcPr>
                  <w:tcW w:w="3785" w:type="dxa"/>
                </w:tcPr>
                <w:p w14:paraId="3CAEE8EF" w14:textId="77777777" w:rsidR="00954A35" w:rsidRDefault="00954A35" w:rsidP="00954A35">
                  <w:pPr>
                    <w:widowControl/>
                    <w:spacing w:line="252" w:lineRule="auto"/>
                    <w:rPr>
                      <w:rFonts w:cs="Calibri"/>
                      <w:color w:val="000000"/>
                      <w:szCs w:val="22"/>
                    </w:rPr>
                  </w:pPr>
                  <w:r w:rsidRPr="00FE4CB7">
                    <w:rPr>
                      <w:b/>
                      <w:bCs/>
                      <w:sz w:val="16"/>
                      <w:szCs w:val="16"/>
                    </w:rPr>
                    <w:t>Huidig</w:t>
                  </w:r>
                </w:p>
              </w:tc>
              <w:tc>
                <w:tcPr>
                  <w:tcW w:w="3785" w:type="dxa"/>
                </w:tcPr>
                <w:p w14:paraId="1D2ADDE9" w14:textId="77777777" w:rsidR="00954A35" w:rsidRDefault="00954A35" w:rsidP="00954A35">
                  <w:pPr>
                    <w:widowControl/>
                    <w:spacing w:line="252" w:lineRule="auto"/>
                    <w:rPr>
                      <w:rFonts w:cs="Calibri"/>
                      <w:color w:val="000000"/>
                      <w:szCs w:val="22"/>
                    </w:rPr>
                  </w:pPr>
                  <w:r w:rsidRPr="00FE4CB7">
                    <w:rPr>
                      <w:b/>
                      <w:bCs/>
                      <w:sz w:val="16"/>
                      <w:szCs w:val="16"/>
                    </w:rPr>
                    <w:t>Na doorvoeren RFC</w:t>
                  </w:r>
                </w:p>
              </w:tc>
            </w:tr>
            <w:tr w:rsidR="00954A35" w14:paraId="263DC85A" w14:textId="77777777" w:rsidTr="00C911BF">
              <w:tc>
                <w:tcPr>
                  <w:tcW w:w="3785" w:type="dxa"/>
                </w:tcPr>
                <w:p w14:paraId="7E5A02A2" w14:textId="77777777" w:rsidR="00954A35" w:rsidRDefault="00954A35" w:rsidP="00954A35">
                  <w:pPr>
                    <w:widowControl/>
                    <w:spacing w:line="252" w:lineRule="auto"/>
                    <w:rPr>
                      <w:rFonts w:cs="Calibri"/>
                      <w:color w:val="000000"/>
                      <w:szCs w:val="22"/>
                    </w:rPr>
                  </w:pPr>
                  <w:r>
                    <w:rPr>
                      <w:noProof/>
                      <w:snapToGrid/>
                    </w:rPr>
                    <w:drawing>
                      <wp:inline distT="0" distB="0" distL="0" distR="0" wp14:anchorId="355359F4" wp14:editId="59AEBFDA">
                        <wp:extent cx="2266315" cy="676910"/>
                        <wp:effectExtent l="0" t="0" r="635" b="8890"/>
                        <wp:docPr id="4" name="Afbeelding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6315" cy="676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5" w:type="dxa"/>
                </w:tcPr>
                <w:p w14:paraId="5E2400C1" w14:textId="77777777" w:rsidR="00954A35" w:rsidRDefault="00954A35" w:rsidP="00954A35">
                  <w:pPr>
                    <w:widowControl/>
                    <w:spacing w:line="252" w:lineRule="auto"/>
                    <w:rPr>
                      <w:rFonts w:cs="Calibri"/>
                      <w:color w:val="000000"/>
                      <w:szCs w:val="22"/>
                    </w:rPr>
                  </w:pPr>
                  <w:r>
                    <w:rPr>
                      <w:noProof/>
                      <w:snapToGrid/>
                    </w:rPr>
                    <w:drawing>
                      <wp:inline distT="0" distB="0" distL="0" distR="0" wp14:anchorId="200302B6" wp14:editId="2E8BC4E7">
                        <wp:extent cx="2266315" cy="668020"/>
                        <wp:effectExtent l="0" t="0" r="635" b="0"/>
                        <wp:docPr id="6" name="Afbeelding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6315" cy="668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B3BEF2D" w14:textId="77777777" w:rsidR="00954A35" w:rsidRDefault="00954A35" w:rsidP="00954A35">
            <w:pPr>
              <w:widowControl/>
              <w:spacing w:line="252" w:lineRule="auto"/>
              <w:rPr>
                <w:rFonts w:cs="Calibri"/>
                <w:color w:val="000000"/>
                <w:szCs w:val="22"/>
              </w:rPr>
            </w:pPr>
          </w:p>
          <w:p w14:paraId="7F1CA389" w14:textId="56553C81" w:rsidR="00FA2ED3" w:rsidRDefault="009575CB" w:rsidP="00F566BA">
            <w:pPr>
              <w:pStyle w:val="Lijstalinea"/>
              <w:widowControl/>
              <w:numPr>
                <w:ilvl w:val="0"/>
                <w:numId w:val="19"/>
              </w:numPr>
              <w:spacing w:line="252" w:lineRule="auto"/>
            </w:pPr>
            <w:r>
              <w:t xml:space="preserve">Wijziging </w:t>
            </w:r>
            <w:proofErr w:type="spellStart"/>
            <w:r w:rsidR="00431BA1" w:rsidRPr="00431BA1">
              <w:t>Acknowledgement</w:t>
            </w:r>
            <w:proofErr w:type="spellEnd"/>
            <w:r w:rsidR="00431BA1" w:rsidRPr="00431BA1">
              <w:t xml:space="preserve"> en Response berichtdefinities</w:t>
            </w:r>
            <w:r w:rsidR="00B179B9">
              <w:t>:</w:t>
            </w: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85"/>
              <w:gridCol w:w="3785"/>
            </w:tblGrid>
            <w:tr w:rsidR="006D2949" w14:paraId="333DB300" w14:textId="77777777" w:rsidTr="006D2949">
              <w:tc>
                <w:tcPr>
                  <w:tcW w:w="3785" w:type="dxa"/>
                </w:tcPr>
                <w:p w14:paraId="6D7D52E7" w14:textId="25580F6C" w:rsidR="006D2949" w:rsidRPr="00FE4CB7" w:rsidRDefault="006D2949" w:rsidP="00FE4CB7">
                  <w:pPr>
                    <w:tabs>
                      <w:tab w:val="left" w:pos="1128"/>
                    </w:tabs>
                    <w:rPr>
                      <w:b/>
                      <w:bCs/>
                      <w:sz w:val="16"/>
                      <w:szCs w:val="16"/>
                    </w:rPr>
                  </w:pPr>
                  <w:r w:rsidRPr="00FE4CB7">
                    <w:rPr>
                      <w:b/>
                      <w:bCs/>
                      <w:sz w:val="16"/>
                      <w:szCs w:val="16"/>
                    </w:rPr>
                    <w:t>Huidig</w:t>
                  </w:r>
                </w:p>
              </w:tc>
              <w:tc>
                <w:tcPr>
                  <w:tcW w:w="3785" w:type="dxa"/>
                </w:tcPr>
                <w:p w14:paraId="7BE249FF" w14:textId="408F72D5" w:rsidR="006D2949" w:rsidRPr="00FE4CB7" w:rsidRDefault="006D2949" w:rsidP="00FE4CB7">
                  <w:pPr>
                    <w:tabs>
                      <w:tab w:val="left" w:pos="1128"/>
                    </w:tabs>
                    <w:rPr>
                      <w:b/>
                      <w:bCs/>
                      <w:sz w:val="16"/>
                      <w:szCs w:val="16"/>
                    </w:rPr>
                  </w:pPr>
                  <w:r w:rsidRPr="00FE4CB7">
                    <w:rPr>
                      <w:b/>
                      <w:bCs/>
                      <w:sz w:val="16"/>
                      <w:szCs w:val="16"/>
                    </w:rPr>
                    <w:t>Na doorvoeren RFC</w:t>
                  </w:r>
                </w:p>
              </w:tc>
            </w:tr>
            <w:tr w:rsidR="006D2949" w14:paraId="2E24F6DE" w14:textId="77777777" w:rsidTr="006D2949">
              <w:tc>
                <w:tcPr>
                  <w:tcW w:w="3785" w:type="dxa"/>
                </w:tcPr>
                <w:p w14:paraId="50932FAB" w14:textId="484FE9F6" w:rsidR="006D2949" w:rsidRDefault="006D2949" w:rsidP="005C1A17">
                  <w:pPr>
                    <w:widowControl/>
                    <w:spacing w:line="252" w:lineRule="auto"/>
                    <w:rPr>
                      <w:rFonts w:cs="Calibri"/>
                      <w:color w:val="000000"/>
                      <w:szCs w:val="22"/>
                    </w:rPr>
                  </w:pPr>
                  <w:r>
                    <w:rPr>
                      <w:noProof/>
                      <w:snapToGrid/>
                    </w:rPr>
                    <w:drawing>
                      <wp:inline distT="0" distB="0" distL="0" distR="0" wp14:anchorId="3CCF52FE" wp14:editId="78AFB5D5">
                        <wp:extent cx="2266315" cy="1069340"/>
                        <wp:effectExtent l="0" t="0" r="635" b="0"/>
                        <wp:docPr id="5" name="Afbeelding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6315" cy="1069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5" w:type="dxa"/>
                </w:tcPr>
                <w:p w14:paraId="399898A6" w14:textId="0D8DDD27" w:rsidR="006D2949" w:rsidRDefault="00FE4CB7" w:rsidP="005C1A17">
                  <w:pPr>
                    <w:widowControl/>
                    <w:spacing w:line="252" w:lineRule="auto"/>
                    <w:rPr>
                      <w:rFonts w:cs="Calibri"/>
                      <w:color w:val="000000"/>
                      <w:szCs w:val="22"/>
                    </w:rPr>
                  </w:pPr>
                  <w:r>
                    <w:rPr>
                      <w:noProof/>
                      <w:snapToGrid/>
                    </w:rPr>
                    <w:drawing>
                      <wp:inline distT="0" distB="0" distL="0" distR="0" wp14:anchorId="1669DCE4" wp14:editId="764BC162">
                        <wp:extent cx="2266315" cy="997585"/>
                        <wp:effectExtent l="0" t="0" r="635" b="0"/>
                        <wp:docPr id="7" name="Afbeelding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6315" cy="9975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4037582" w14:textId="5AF32E0B" w:rsidR="00036EF3" w:rsidRPr="005C1A17" w:rsidRDefault="00036EF3" w:rsidP="00954A35">
            <w:pPr>
              <w:widowControl/>
              <w:spacing w:line="252" w:lineRule="auto"/>
              <w:rPr>
                <w:rFonts w:cs="Calibri"/>
                <w:color w:val="000000"/>
                <w:szCs w:val="22"/>
              </w:rPr>
            </w:pPr>
          </w:p>
        </w:tc>
      </w:tr>
      <w:tr w:rsidR="00764884" w:rsidRPr="00B632BB" w14:paraId="5FFF54D3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14559B64" w14:textId="77777777" w:rsidR="00764884" w:rsidRPr="00B632BB" w:rsidRDefault="00764884" w:rsidP="00764884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Huidige tekst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FFC7" w14:textId="58EA8470" w:rsidR="00764884" w:rsidRPr="00B632BB" w:rsidRDefault="008B4489" w:rsidP="008B4489">
            <w:pPr>
              <w:snapToGrid w:val="0"/>
              <w:rPr>
                <w:rFonts w:cs="Calibri"/>
                <w:bCs/>
                <w:szCs w:val="22"/>
              </w:rPr>
            </w:pPr>
            <w:r w:rsidRPr="00B632BB">
              <w:rPr>
                <w:rFonts w:cs="Calibri"/>
                <w:bCs/>
                <w:szCs w:val="22"/>
              </w:rPr>
              <w:t>Zie ‘Paragraaf/pagina’ voor een overzicht van wijzigingen</w:t>
            </w:r>
            <w:r w:rsidR="00CB2A07" w:rsidRPr="00B632BB">
              <w:rPr>
                <w:rFonts w:cs="Calibri"/>
                <w:bCs/>
                <w:szCs w:val="22"/>
              </w:rPr>
              <w:t>.</w:t>
            </w:r>
          </w:p>
        </w:tc>
      </w:tr>
      <w:tr w:rsidR="00764884" w:rsidRPr="00B632BB" w14:paraId="77AA26AC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61661331" w14:textId="77777777" w:rsidR="00764884" w:rsidRPr="00B632BB" w:rsidRDefault="00764884" w:rsidP="00764884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Gewenste tekst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3843" w14:textId="37E7AF7A" w:rsidR="00764884" w:rsidRPr="00B632BB" w:rsidRDefault="008B4489" w:rsidP="00764884">
            <w:pPr>
              <w:snapToGrid w:val="0"/>
              <w:rPr>
                <w:rFonts w:cs="Calibri"/>
                <w:szCs w:val="22"/>
              </w:rPr>
            </w:pPr>
            <w:r w:rsidRPr="00B632BB">
              <w:rPr>
                <w:rFonts w:cs="Calibri"/>
                <w:bCs/>
                <w:szCs w:val="22"/>
              </w:rPr>
              <w:t>Zie ‘Paragraaf/pagina’ voor een overzicht van wijzigingen</w:t>
            </w:r>
            <w:r w:rsidR="00CB2A07" w:rsidRPr="00B632BB">
              <w:rPr>
                <w:rFonts w:cs="Calibri"/>
                <w:bCs/>
                <w:szCs w:val="22"/>
              </w:rPr>
              <w:t>.</w:t>
            </w:r>
          </w:p>
        </w:tc>
      </w:tr>
      <w:tr w:rsidR="00764884" w:rsidRPr="00B632BB" w14:paraId="3D3AE93E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59A8780" w14:textId="77777777" w:rsidR="00764884" w:rsidRPr="00B632BB" w:rsidRDefault="00764884" w:rsidP="00764884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Impact bij niet doorvoeren</w:t>
            </w:r>
          </w:p>
          <w:p w14:paraId="244D0C73" w14:textId="77777777" w:rsidR="00764884" w:rsidRPr="00B632BB" w:rsidRDefault="00764884" w:rsidP="00764884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9847" w14:textId="4E224545" w:rsidR="00390A52" w:rsidRDefault="001A1ED1" w:rsidP="00433EEA">
            <w:pPr>
              <w:tabs>
                <w:tab w:val="left" w:pos="238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Geen sluitende </w:t>
            </w:r>
            <w:r w:rsidR="00390A52">
              <w:rPr>
                <w:rFonts w:cs="Calibri"/>
                <w:szCs w:val="22"/>
              </w:rPr>
              <w:t>afspraken</w:t>
            </w:r>
            <w:r>
              <w:rPr>
                <w:rFonts w:cs="Calibri"/>
                <w:szCs w:val="22"/>
              </w:rPr>
              <w:t xml:space="preserve"> </w:t>
            </w:r>
            <w:r w:rsidR="009E7716">
              <w:rPr>
                <w:rFonts w:cs="Calibri"/>
                <w:szCs w:val="22"/>
              </w:rPr>
              <w:t xml:space="preserve">welke technische </w:t>
            </w:r>
            <w:proofErr w:type="spellStart"/>
            <w:r w:rsidR="009E7716">
              <w:rPr>
                <w:rFonts w:cs="Calibri"/>
                <w:szCs w:val="22"/>
              </w:rPr>
              <w:t>validaties</w:t>
            </w:r>
            <w:proofErr w:type="spellEnd"/>
            <w:r w:rsidR="009E7716">
              <w:rPr>
                <w:rFonts w:cs="Calibri"/>
                <w:szCs w:val="22"/>
              </w:rPr>
              <w:t xml:space="preserve"> dien</w:t>
            </w:r>
            <w:r w:rsidR="006443C6">
              <w:rPr>
                <w:rFonts w:cs="Calibri"/>
                <w:szCs w:val="22"/>
              </w:rPr>
              <w:t>en</w:t>
            </w:r>
            <w:r w:rsidR="009E7716">
              <w:rPr>
                <w:rFonts w:cs="Calibri"/>
                <w:szCs w:val="22"/>
              </w:rPr>
              <w:t xml:space="preserve"> te worden </w:t>
            </w:r>
            <w:r w:rsidR="006443C6">
              <w:rPr>
                <w:rFonts w:cs="Calibri"/>
                <w:szCs w:val="22"/>
              </w:rPr>
              <w:t>uitgevoerd</w:t>
            </w:r>
            <w:r w:rsidR="009E7716">
              <w:rPr>
                <w:rFonts w:cs="Calibri"/>
                <w:szCs w:val="22"/>
              </w:rPr>
              <w:t xml:space="preserve"> </w:t>
            </w:r>
            <w:r w:rsidR="001A48A1">
              <w:rPr>
                <w:rFonts w:cs="Calibri"/>
                <w:szCs w:val="22"/>
              </w:rPr>
              <w:t xml:space="preserve">door </w:t>
            </w:r>
            <w:r w:rsidR="006D638C">
              <w:rPr>
                <w:rFonts w:cs="Calibri"/>
                <w:szCs w:val="22"/>
              </w:rPr>
              <w:t>d</w:t>
            </w:r>
            <w:r w:rsidR="001A48A1">
              <w:rPr>
                <w:rFonts w:cs="Calibri"/>
                <w:szCs w:val="22"/>
              </w:rPr>
              <w:t>e ontvangers</w:t>
            </w:r>
            <w:r w:rsidR="002057FC">
              <w:rPr>
                <w:rFonts w:cs="Calibri"/>
                <w:szCs w:val="22"/>
              </w:rPr>
              <w:t xml:space="preserve">, </w:t>
            </w:r>
            <w:r w:rsidR="00541D34">
              <w:rPr>
                <w:rFonts w:cs="Calibri"/>
                <w:szCs w:val="22"/>
              </w:rPr>
              <w:t xml:space="preserve">hoe </w:t>
            </w:r>
            <w:r w:rsidR="001A48A1">
              <w:rPr>
                <w:rFonts w:cs="Calibri"/>
                <w:szCs w:val="22"/>
              </w:rPr>
              <w:t xml:space="preserve">de </w:t>
            </w:r>
            <w:r w:rsidR="00541D34">
              <w:rPr>
                <w:rFonts w:cs="Calibri"/>
                <w:szCs w:val="22"/>
              </w:rPr>
              <w:t xml:space="preserve">ontvangers moeten </w:t>
            </w:r>
            <w:r w:rsidR="006443C6">
              <w:rPr>
                <w:rFonts w:cs="Calibri"/>
                <w:szCs w:val="22"/>
              </w:rPr>
              <w:t>reageren</w:t>
            </w:r>
            <w:r w:rsidR="00541D34">
              <w:rPr>
                <w:rFonts w:cs="Calibri"/>
                <w:szCs w:val="22"/>
              </w:rPr>
              <w:t xml:space="preserve"> in geval van </w:t>
            </w:r>
            <w:r w:rsidR="00EB6F26">
              <w:rPr>
                <w:rFonts w:cs="Calibri"/>
                <w:szCs w:val="22"/>
              </w:rPr>
              <w:t>fout</w:t>
            </w:r>
            <w:r w:rsidR="001A48A1">
              <w:rPr>
                <w:rFonts w:cs="Calibri"/>
                <w:szCs w:val="22"/>
              </w:rPr>
              <w:t xml:space="preserve">meldingen </w:t>
            </w:r>
            <w:r w:rsidR="007A2821">
              <w:rPr>
                <w:rFonts w:cs="Calibri"/>
                <w:szCs w:val="22"/>
              </w:rPr>
              <w:t>als gevolg van</w:t>
            </w:r>
            <w:r w:rsidR="006443C6">
              <w:rPr>
                <w:rFonts w:cs="Calibri"/>
                <w:szCs w:val="22"/>
              </w:rPr>
              <w:t xml:space="preserve"> </w:t>
            </w:r>
            <w:r w:rsidR="00390A52">
              <w:rPr>
                <w:rFonts w:cs="Calibri"/>
                <w:szCs w:val="22"/>
              </w:rPr>
              <w:t xml:space="preserve">technische </w:t>
            </w:r>
            <w:proofErr w:type="spellStart"/>
            <w:r w:rsidR="00390A52">
              <w:rPr>
                <w:rFonts w:cs="Calibri"/>
                <w:szCs w:val="22"/>
              </w:rPr>
              <w:t>validatie</w:t>
            </w:r>
            <w:r w:rsidR="006443C6">
              <w:rPr>
                <w:rFonts w:cs="Calibri"/>
                <w:szCs w:val="22"/>
              </w:rPr>
              <w:t>s</w:t>
            </w:r>
            <w:proofErr w:type="spellEnd"/>
            <w:r w:rsidR="00822C44">
              <w:rPr>
                <w:rFonts w:cs="Calibri"/>
                <w:szCs w:val="22"/>
              </w:rPr>
              <w:t xml:space="preserve"> en </w:t>
            </w:r>
            <w:r w:rsidR="00822C44">
              <w:t>hoe de verzender op de hoogte wordt gesteld</w:t>
            </w:r>
            <w:r w:rsidR="00255655">
              <w:t xml:space="preserve"> van deze foutmeldingen</w:t>
            </w:r>
            <w:r w:rsidR="00390A52">
              <w:rPr>
                <w:rFonts w:cs="Calibri"/>
                <w:szCs w:val="22"/>
              </w:rPr>
              <w:t>.</w:t>
            </w:r>
            <w:r w:rsidR="00EB6F26">
              <w:rPr>
                <w:rFonts w:cs="Calibri"/>
                <w:szCs w:val="22"/>
              </w:rPr>
              <w:t xml:space="preserve"> </w:t>
            </w:r>
          </w:p>
          <w:p w14:paraId="3AE34E2D" w14:textId="17C919BD" w:rsidR="00764884" w:rsidRPr="00B632BB" w:rsidRDefault="00764884" w:rsidP="006443C6">
            <w:pPr>
              <w:tabs>
                <w:tab w:val="left" w:pos="2380"/>
              </w:tabs>
              <w:rPr>
                <w:rFonts w:cs="Calibri"/>
                <w:szCs w:val="22"/>
              </w:rPr>
            </w:pPr>
          </w:p>
        </w:tc>
      </w:tr>
      <w:tr w:rsidR="00764884" w:rsidRPr="00B632BB" w14:paraId="7BCE8D87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1812C1A6" w14:textId="77777777" w:rsidR="00764884" w:rsidRPr="00B632BB" w:rsidRDefault="00764884" w:rsidP="00764884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Gewenste oplosdatum</w:t>
            </w:r>
          </w:p>
          <w:p w14:paraId="229BB3C8" w14:textId="77777777" w:rsidR="00764884" w:rsidRPr="00B632BB" w:rsidRDefault="00764884" w:rsidP="00764884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B528" w14:textId="75F3DAA1" w:rsidR="00764884" w:rsidRPr="00B632BB" w:rsidRDefault="00433EEA" w:rsidP="00764884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Q</w:t>
            </w:r>
            <w:r w:rsidR="00BA55BC">
              <w:rPr>
                <w:szCs w:val="18"/>
              </w:rPr>
              <w:t>3</w:t>
            </w:r>
            <w:r>
              <w:rPr>
                <w:szCs w:val="18"/>
              </w:rPr>
              <w:t xml:space="preserve"> </w:t>
            </w:r>
            <w:r w:rsidR="00764884" w:rsidRPr="00B632BB">
              <w:rPr>
                <w:szCs w:val="18"/>
              </w:rPr>
              <w:t>2021.</w:t>
            </w:r>
          </w:p>
        </w:tc>
      </w:tr>
    </w:tbl>
    <w:p w14:paraId="3E18779E" w14:textId="77777777" w:rsidR="00693F78" w:rsidRPr="00B632BB" w:rsidRDefault="00693F78" w:rsidP="00693F78">
      <w:pPr>
        <w:rPr>
          <w:szCs w:val="18"/>
        </w:rPr>
      </w:pPr>
    </w:p>
    <w:p w14:paraId="7D3BF26A" w14:textId="500ED178" w:rsidR="00693F78" w:rsidRPr="00B632BB" w:rsidRDefault="00693F78" w:rsidP="00693F78">
      <w:pPr>
        <w:rPr>
          <w:i/>
          <w:szCs w:val="18"/>
        </w:rPr>
      </w:pPr>
      <w:r w:rsidRPr="00B632BB">
        <w:rPr>
          <w:i/>
          <w:szCs w:val="18"/>
        </w:rPr>
        <w:t>Beoordeling RFC op de 3 change criteria (In te vullen door secretaris SR-NEDU)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:rsidRPr="00B632BB" w14:paraId="0B2C7A11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7FCFD1F4" w14:textId="77777777" w:rsidR="00693F78" w:rsidRPr="00B632BB" w:rsidRDefault="00693F78" w:rsidP="001C393F">
            <w:pPr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Blocking issue voor de sector als niet doorvoeren?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6ACF" w14:textId="22E651AF" w:rsidR="00693F78" w:rsidRPr="00B632BB" w:rsidRDefault="00B218CD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Nee</w:t>
            </w:r>
          </w:p>
        </w:tc>
      </w:tr>
      <w:tr w:rsidR="00693F78" w:rsidRPr="00B632BB" w14:paraId="7AA99484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453A31C" w14:textId="77777777" w:rsidR="00693F78" w:rsidRPr="00B632BB" w:rsidRDefault="00693F78" w:rsidP="001C393F">
            <w:pPr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Toets van het blocking issue aan de Acceptatie criteria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4735" w14:textId="2028A935" w:rsidR="00693F78" w:rsidRPr="00B632BB" w:rsidRDefault="00B218CD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Ja</w:t>
            </w:r>
          </w:p>
        </w:tc>
      </w:tr>
      <w:tr w:rsidR="00693F78" w:rsidRPr="00B632BB" w14:paraId="494835AE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56B38B1B" w14:textId="77777777" w:rsidR="00693F78" w:rsidRPr="00B632BB" w:rsidRDefault="00693F78" w:rsidP="001C393F">
            <w:pPr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Kan RFC worden geabsorbeerd in huidige planning en kosten?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6E17" w14:textId="00DE18DC" w:rsidR="00693F78" w:rsidRPr="00B632BB" w:rsidRDefault="00B218CD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Ja, moment van implementatie wordt bepaald door projectteam TR2021 met input Bram van Straalen. Dit omdat er al getest wordt. </w:t>
            </w:r>
          </w:p>
        </w:tc>
      </w:tr>
    </w:tbl>
    <w:p w14:paraId="72403F6E" w14:textId="77777777" w:rsidR="00693F78" w:rsidRPr="00B632BB" w:rsidRDefault="00693F78" w:rsidP="00693F78">
      <w:pPr>
        <w:rPr>
          <w:szCs w:val="18"/>
        </w:rPr>
      </w:pPr>
    </w:p>
    <w:p w14:paraId="434DB8A3" w14:textId="5101A0F4" w:rsidR="00693F78" w:rsidRDefault="00174704" w:rsidP="00693F78">
      <w:pPr>
        <w:rPr>
          <w:i/>
          <w:szCs w:val="18"/>
        </w:rPr>
      </w:pPr>
      <w:r>
        <w:rPr>
          <w:i/>
          <w:szCs w:val="18"/>
        </w:rPr>
        <w:t>Oordeel diverse gremia</w:t>
      </w:r>
      <w:r w:rsidR="00693F78" w:rsidRPr="00B632BB">
        <w:rPr>
          <w:i/>
          <w:szCs w:val="18"/>
        </w:rPr>
        <w:t xml:space="preserve"> 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174704" w14:paraId="605707E6" w14:textId="77777777" w:rsidTr="00EA1A1D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5906680E" w14:textId="77777777" w:rsidR="00174704" w:rsidRDefault="00174704" w:rsidP="00EA1A1D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BAD9" w14:textId="77777777" w:rsidR="00174704" w:rsidRDefault="00174704" w:rsidP="00EA1A1D">
            <w:pPr>
              <w:snapToGrid w:val="0"/>
              <w:rPr>
                <w:szCs w:val="18"/>
              </w:rPr>
            </w:pPr>
          </w:p>
        </w:tc>
      </w:tr>
      <w:tr w:rsidR="00174704" w14:paraId="10136DD2" w14:textId="77777777" w:rsidTr="00EA1A1D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05D6E012" w14:textId="77777777" w:rsidR="00174704" w:rsidRDefault="00174704" w:rsidP="00EA1A1D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SR NEDU-I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BA07" w14:textId="2F2086E6" w:rsidR="00174704" w:rsidRPr="00174704" w:rsidRDefault="00174704" w:rsidP="00174704">
            <w:pPr>
              <w:tabs>
                <w:tab w:val="left" w:pos="1985"/>
              </w:tabs>
              <w:rPr>
                <w:bCs/>
                <w:noProof/>
                <w:szCs w:val="22"/>
              </w:rPr>
            </w:pPr>
            <w:r w:rsidRPr="00174704">
              <w:rPr>
                <w:bCs/>
                <w:szCs w:val="22"/>
              </w:rPr>
              <w:t xml:space="preserve">De RFC TR2021.5 Technische </w:t>
            </w:r>
            <w:proofErr w:type="spellStart"/>
            <w:r w:rsidRPr="00174704">
              <w:rPr>
                <w:bCs/>
                <w:szCs w:val="22"/>
              </w:rPr>
              <w:t>validaties</w:t>
            </w:r>
            <w:proofErr w:type="spellEnd"/>
            <w:r w:rsidRPr="00174704">
              <w:rPr>
                <w:bCs/>
                <w:szCs w:val="22"/>
              </w:rPr>
              <w:t xml:space="preserve"> A2.0 berichtenverkeer is door de SR NEDU goedgekeurd voor intake. Bij implementatie van deze RFC zullen 5 berichtdefinities wijzigen </w:t>
            </w:r>
            <w:r>
              <w:rPr>
                <w:bCs/>
                <w:szCs w:val="22"/>
              </w:rPr>
              <w:t>(</w:t>
            </w:r>
            <w:r w:rsidRPr="00174704">
              <w:rPr>
                <w:bCs/>
                <w:szCs w:val="22"/>
              </w:rPr>
              <w:t>vijf velden van verplicht naar optioneel</w:t>
            </w:r>
            <w:r>
              <w:rPr>
                <w:bCs/>
                <w:szCs w:val="22"/>
              </w:rPr>
              <w:t>)</w:t>
            </w:r>
            <w:r w:rsidRPr="00174704">
              <w:rPr>
                <w:bCs/>
                <w:szCs w:val="22"/>
              </w:rPr>
              <w:t xml:space="preserve">. </w:t>
            </w:r>
            <w:r w:rsidRPr="00174704">
              <w:rPr>
                <w:bCs/>
                <w:noProof/>
                <w:szCs w:val="22"/>
              </w:rPr>
              <w:t>Na aanleiding van RFC TR2021.5 met betrokkene</w:t>
            </w:r>
            <w:r w:rsidR="00C677C9">
              <w:rPr>
                <w:bCs/>
                <w:noProof/>
                <w:szCs w:val="22"/>
              </w:rPr>
              <w:t>n</w:t>
            </w:r>
            <w:r w:rsidRPr="00174704">
              <w:rPr>
                <w:bCs/>
                <w:noProof/>
                <w:szCs w:val="22"/>
              </w:rPr>
              <w:t xml:space="preserve"> bespreken wanneer deze aanpassingen gemaakt zullen worden. </w:t>
            </w:r>
            <w:r w:rsidRPr="00174704">
              <w:rPr>
                <w:bCs/>
                <w:szCs w:val="22"/>
              </w:rPr>
              <w:t xml:space="preserve">Bram van Straalen pakt implementatie van deze RFC op ter behandeling in </w:t>
            </w:r>
            <w:proofErr w:type="spellStart"/>
            <w:r w:rsidRPr="00174704">
              <w:rPr>
                <w:bCs/>
                <w:szCs w:val="22"/>
              </w:rPr>
              <w:t>coreteam</w:t>
            </w:r>
            <w:proofErr w:type="spellEnd"/>
            <w:r w:rsidRPr="00174704">
              <w:rPr>
                <w:bCs/>
                <w:szCs w:val="22"/>
              </w:rPr>
              <w:t>.</w:t>
            </w:r>
            <w:r w:rsidRPr="00174704">
              <w:rPr>
                <w:bCs/>
                <w:noProof/>
                <w:szCs w:val="22"/>
              </w:rPr>
              <w:t xml:space="preserve"> </w:t>
            </w:r>
            <w:r w:rsidRPr="00174704">
              <w:rPr>
                <w:bCs/>
                <w:szCs w:val="22"/>
              </w:rPr>
              <w:t xml:space="preserve">Hij stemt dit af met NEDU en </w:t>
            </w:r>
            <w:proofErr w:type="spellStart"/>
            <w:r w:rsidRPr="00174704">
              <w:rPr>
                <w:bCs/>
                <w:szCs w:val="22"/>
              </w:rPr>
              <w:t>Tennet</w:t>
            </w:r>
            <w:proofErr w:type="spellEnd"/>
            <w:r w:rsidRPr="00174704">
              <w:rPr>
                <w:bCs/>
                <w:szCs w:val="22"/>
              </w:rPr>
              <w:t xml:space="preserve">. </w:t>
            </w:r>
            <w:r w:rsidR="00C677C9">
              <w:rPr>
                <w:bCs/>
                <w:szCs w:val="22"/>
              </w:rPr>
              <w:t>Dit staat goedkeuring change niet in de weg.</w:t>
            </w:r>
          </w:p>
        </w:tc>
      </w:tr>
      <w:tr w:rsidR="00174704" w14:paraId="5C58F8EC" w14:textId="77777777" w:rsidTr="00EA1A1D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5468CB82" w14:textId="636C6379" w:rsidR="00174704" w:rsidRDefault="00174704" w:rsidP="00EA1A1D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CA-I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193C" w14:textId="0A7E18AF" w:rsidR="00174704" w:rsidRDefault="00813365" w:rsidP="00EA1A1D">
            <w:pPr>
              <w:snapToGrid w:val="0"/>
              <w:rPr>
                <w:szCs w:val="18"/>
              </w:rPr>
            </w:pPr>
            <w:r w:rsidRPr="00813365">
              <w:rPr>
                <w:szCs w:val="18"/>
              </w:rPr>
              <w:t>De CA/DA gaat akkoord met RFC TR2021.5</w:t>
            </w:r>
            <w:r>
              <w:rPr>
                <w:szCs w:val="18"/>
              </w:rPr>
              <w:t xml:space="preserve">, geen additioneel commentaar. </w:t>
            </w:r>
          </w:p>
        </w:tc>
      </w:tr>
      <w:tr w:rsidR="00174704" w14:paraId="68059409" w14:textId="77777777" w:rsidTr="00EA1A1D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5C5265AD" w14:textId="77777777" w:rsidR="00174704" w:rsidRDefault="00174704" w:rsidP="00EA1A1D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SR-NEDU-II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85EC" w14:textId="777DCE16" w:rsidR="00174704" w:rsidRDefault="00BA6C2C" w:rsidP="00EA1A1D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De SR NEDU is akkoord. Zijn vragen beantwoord van MV en LV maar allen geven akkoord.</w:t>
            </w:r>
          </w:p>
        </w:tc>
      </w:tr>
      <w:tr w:rsidR="00174704" w14:paraId="1EC0AD7F" w14:textId="77777777" w:rsidTr="00EA1A1D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390D0D4A" w14:textId="77777777" w:rsidR="00174704" w:rsidRDefault="00174704" w:rsidP="00EA1A1D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SSG A2.0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9890" w14:textId="69E355DE" w:rsidR="00174704" w:rsidRDefault="00BA6C2C" w:rsidP="00EA1A1D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De SSG A2.0 is akkoord.  Berichtdefinities worden in zomerreces goedgekeurd door SR NEDU met mandaat SSG. </w:t>
            </w:r>
          </w:p>
        </w:tc>
      </w:tr>
    </w:tbl>
    <w:p w14:paraId="68A33A74" w14:textId="77777777" w:rsidR="00174704" w:rsidRPr="00B632BB" w:rsidRDefault="00174704" w:rsidP="00693F78">
      <w:pPr>
        <w:rPr>
          <w:i/>
          <w:szCs w:val="18"/>
        </w:rPr>
      </w:pPr>
    </w:p>
    <w:p w14:paraId="717C74E1" w14:textId="77777777" w:rsidR="00693F78" w:rsidRPr="00B632BB" w:rsidRDefault="00693F78" w:rsidP="00693F78">
      <w:pPr>
        <w:rPr>
          <w:szCs w:val="18"/>
        </w:rPr>
      </w:pPr>
    </w:p>
    <w:p w14:paraId="71BA295D" w14:textId="77777777" w:rsidR="00693F78" w:rsidRPr="00B632BB" w:rsidRDefault="00693F78" w:rsidP="00693F78">
      <w:pPr>
        <w:keepNext/>
        <w:keepLines/>
        <w:outlineLvl w:val="0"/>
        <w:rPr>
          <w:i/>
          <w:szCs w:val="18"/>
        </w:rPr>
      </w:pPr>
      <w:r w:rsidRPr="00B632BB">
        <w:rPr>
          <w:i/>
          <w:szCs w:val="18"/>
        </w:rPr>
        <w:t>Gerelateerde documenten</w:t>
      </w:r>
    </w:p>
    <w:tbl>
      <w:tblPr>
        <w:tblW w:w="1005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19"/>
        <w:gridCol w:w="5812"/>
        <w:gridCol w:w="992"/>
        <w:gridCol w:w="1418"/>
        <w:gridCol w:w="1115"/>
      </w:tblGrid>
      <w:tr w:rsidR="00693F78" w:rsidRPr="00B632BB" w14:paraId="5D645BC2" w14:textId="77777777" w:rsidTr="00E5665C">
        <w:trPr>
          <w:trHeight w:val="280"/>
          <w:tblHeader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0DD1C123" w14:textId="77777777" w:rsidR="00693F78" w:rsidRPr="00B632BB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proofErr w:type="spellStart"/>
            <w:r w:rsidRPr="00B632BB">
              <w:rPr>
                <w:b/>
                <w:szCs w:val="18"/>
              </w:rPr>
              <w:t>Nr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2EB0201" w14:textId="77777777" w:rsidR="00693F78" w:rsidRPr="00B632BB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Omschrijving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CB8B33C" w14:textId="77777777" w:rsidR="00693F78" w:rsidRPr="00B632BB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Versie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64C0DA96" w14:textId="77777777" w:rsidR="00693F78" w:rsidRPr="00B632BB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Datum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58EABDF" w14:textId="77777777" w:rsidR="00693F78" w:rsidRPr="00B632BB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Auteur</w:t>
            </w:r>
          </w:p>
        </w:tc>
      </w:tr>
      <w:tr w:rsidR="00DA273C" w:rsidRPr="00B632BB" w14:paraId="4790212C" w14:textId="77777777" w:rsidTr="00E5665C">
        <w:trPr>
          <w:trHeight w:val="23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88B02" w14:textId="300B0ACC" w:rsidR="00DA273C" w:rsidRPr="00A02A87" w:rsidRDefault="005C5C0B" w:rsidP="001C393F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9C5CA" w14:textId="2FFB5F7A" w:rsidR="00DA273C" w:rsidRPr="00A02A87" w:rsidRDefault="007D0E10" w:rsidP="001C393F">
            <w:pPr>
              <w:keepNext/>
              <w:keepLines/>
              <w:snapToGrid w:val="0"/>
              <w:rPr>
                <w:szCs w:val="22"/>
              </w:rPr>
            </w:pPr>
            <w:proofErr w:type="spellStart"/>
            <w:r w:rsidRPr="00A02A87">
              <w:rPr>
                <w:szCs w:val="22"/>
              </w:rPr>
              <w:t>MeasurementSeriesAcknowledgement</w:t>
            </w:r>
            <w:proofErr w:type="spellEnd"/>
            <w:r w:rsidR="009F6DC8" w:rsidRPr="00A02A87">
              <w:rPr>
                <w:szCs w:val="22"/>
              </w:rPr>
              <w:t xml:space="preserve"> XSD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5915A" w14:textId="024999D6" w:rsidR="00DA273C" w:rsidRPr="00A02A87" w:rsidRDefault="009F6DC8" w:rsidP="001C393F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3.0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601AA" w14:textId="0E5208AE" w:rsidR="00DA273C" w:rsidRPr="00A02A87" w:rsidRDefault="006515D9" w:rsidP="001C393F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26-10-2020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93AE" w14:textId="4E665303" w:rsidR="00DA273C" w:rsidRPr="00A02A87" w:rsidRDefault="006515D9" w:rsidP="001C393F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EDSN</w:t>
            </w:r>
          </w:p>
        </w:tc>
      </w:tr>
      <w:tr w:rsidR="005C5C0B" w:rsidRPr="00B632BB" w14:paraId="2ABF0C2A" w14:textId="77777777" w:rsidTr="00E5665C">
        <w:trPr>
          <w:trHeight w:val="23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E37DD" w14:textId="32AA0EA0" w:rsidR="005C5C0B" w:rsidRPr="00A02A87" w:rsidRDefault="005C5C0B" w:rsidP="005C5C0B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20C87" w14:textId="346AF25F" w:rsidR="005C5C0B" w:rsidRPr="00A02A87" w:rsidRDefault="005C5C0B" w:rsidP="005C5C0B">
            <w:pPr>
              <w:keepNext/>
              <w:keepLines/>
              <w:snapToGrid w:val="0"/>
              <w:rPr>
                <w:szCs w:val="22"/>
              </w:rPr>
            </w:pPr>
            <w:proofErr w:type="spellStart"/>
            <w:r w:rsidRPr="00A02A87">
              <w:rPr>
                <w:szCs w:val="22"/>
              </w:rPr>
              <w:t>VolumeInstallationSeriesAcknowledgement</w:t>
            </w:r>
            <w:proofErr w:type="spellEnd"/>
            <w:r w:rsidRPr="00A02A87">
              <w:rPr>
                <w:szCs w:val="22"/>
              </w:rPr>
              <w:t xml:space="preserve"> XSD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76F76" w14:textId="05E0F364" w:rsidR="005C5C0B" w:rsidRPr="00A02A87" w:rsidRDefault="005C5C0B" w:rsidP="005C5C0B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1.0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BC23C" w14:textId="21E604BE" w:rsidR="005C5C0B" w:rsidRPr="00A02A87" w:rsidRDefault="005C5C0B" w:rsidP="005C5C0B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25-09-2020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2C66" w14:textId="1050B675" w:rsidR="005C5C0B" w:rsidRPr="00A02A87" w:rsidRDefault="005C5C0B" w:rsidP="005C5C0B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EDSN</w:t>
            </w:r>
          </w:p>
        </w:tc>
      </w:tr>
      <w:tr w:rsidR="00DA273C" w:rsidRPr="00B632BB" w14:paraId="18B046B3" w14:textId="77777777" w:rsidTr="00E5665C">
        <w:trPr>
          <w:trHeight w:val="23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897BD" w14:textId="40FFD3C9" w:rsidR="00DA273C" w:rsidRPr="00A02A87" w:rsidRDefault="005C5C0B" w:rsidP="001C393F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1F658" w14:textId="373A4B68" w:rsidR="00DA273C" w:rsidRPr="00A02A87" w:rsidRDefault="006515D9" w:rsidP="001C393F">
            <w:pPr>
              <w:keepNext/>
              <w:keepLines/>
              <w:snapToGrid w:val="0"/>
              <w:rPr>
                <w:szCs w:val="22"/>
              </w:rPr>
            </w:pPr>
            <w:proofErr w:type="spellStart"/>
            <w:r w:rsidRPr="00A02A87">
              <w:rPr>
                <w:szCs w:val="22"/>
              </w:rPr>
              <w:t>VolumeSeriesAcknowledgement</w:t>
            </w:r>
            <w:proofErr w:type="spellEnd"/>
            <w:r w:rsidRPr="00A02A87">
              <w:rPr>
                <w:szCs w:val="22"/>
              </w:rPr>
              <w:t xml:space="preserve"> XSD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448C9" w14:textId="374FD794" w:rsidR="00DA273C" w:rsidRPr="00A02A87" w:rsidRDefault="006515D9" w:rsidP="001C393F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1.0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9376A" w14:textId="24DBE205" w:rsidR="00DA273C" w:rsidRPr="00A02A87" w:rsidRDefault="00E647E5" w:rsidP="001C393F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25-09-2020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2AB" w14:textId="4A9F0506" w:rsidR="00DA273C" w:rsidRPr="00A02A87" w:rsidRDefault="001B2665" w:rsidP="001C393F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EDSN</w:t>
            </w:r>
          </w:p>
        </w:tc>
      </w:tr>
      <w:tr w:rsidR="00DA273C" w:rsidRPr="00B632BB" w14:paraId="086D5D46" w14:textId="77777777" w:rsidTr="00E5665C">
        <w:trPr>
          <w:trHeight w:val="23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5C50C" w14:textId="316CA0AF" w:rsidR="00DA273C" w:rsidRPr="00A02A87" w:rsidRDefault="005C5C0B" w:rsidP="001C393F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51D6C" w14:textId="07138AB2" w:rsidR="00DA273C" w:rsidRPr="00A02A87" w:rsidRDefault="00167D50" w:rsidP="001C393F">
            <w:pPr>
              <w:keepNext/>
              <w:keepLines/>
              <w:snapToGrid w:val="0"/>
              <w:rPr>
                <w:szCs w:val="22"/>
              </w:rPr>
            </w:pPr>
            <w:proofErr w:type="spellStart"/>
            <w:r w:rsidRPr="00A02A87">
              <w:rPr>
                <w:szCs w:val="22"/>
              </w:rPr>
              <w:t>MeasurementSeriesRevisionResponse</w:t>
            </w:r>
            <w:proofErr w:type="spellEnd"/>
            <w:r w:rsidR="00AC57ED" w:rsidRPr="00A02A87">
              <w:rPr>
                <w:szCs w:val="22"/>
              </w:rPr>
              <w:t xml:space="preserve"> XSD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69DAF" w14:textId="317D6C4D" w:rsidR="00DA273C" w:rsidRPr="00A02A87" w:rsidRDefault="00AC57ED" w:rsidP="001C393F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1.0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C4088" w14:textId="2A498B17" w:rsidR="00DA273C" w:rsidRPr="00A02A87" w:rsidRDefault="00AC57ED" w:rsidP="001C393F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27-10-2020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61EC" w14:textId="244B37D8" w:rsidR="00DA273C" w:rsidRPr="00A02A87" w:rsidRDefault="00AC57ED" w:rsidP="001C393F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EDSN</w:t>
            </w:r>
          </w:p>
        </w:tc>
      </w:tr>
      <w:tr w:rsidR="00C80751" w:rsidRPr="00B632BB" w14:paraId="41F4EAEB" w14:textId="77777777" w:rsidTr="00E5665C">
        <w:trPr>
          <w:trHeight w:val="23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6D1F6" w14:textId="2F5D2B2C" w:rsidR="00C80751" w:rsidRPr="00A02A87" w:rsidRDefault="005C5C0B" w:rsidP="00C80751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1C852" w14:textId="12F25606" w:rsidR="00C80751" w:rsidRPr="00A02A87" w:rsidRDefault="00C80751" w:rsidP="00C80751">
            <w:pPr>
              <w:keepNext/>
              <w:keepLines/>
              <w:snapToGrid w:val="0"/>
              <w:rPr>
                <w:szCs w:val="22"/>
              </w:rPr>
            </w:pPr>
            <w:proofErr w:type="spellStart"/>
            <w:r w:rsidRPr="00A02A87">
              <w:rPr>
                <w:szCs w:val="22"/>
              </w:rPr>
              <w:t>AllocationVolumeRevisionResponse</w:t>
            </w:r>
            <w:proofErr w:type="spellEnd"/>
            <w:r w:rsidRPr="00A02A87">
              <w:rPr>
                <w:szCs w:val="22"/>
              </w:rPr>
              <w:t xml:space="preserve"> XSD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ED8AB" w14:textId="6DEB78FC" w:rsidR="00C80751" w:rsidRPr="00A02A87" w:rsidRDefault="00C80751" w:rsidP="00C80751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1.0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ADABC" w14:textId="7D8D4B30" w:rsidR="00C80751" w:rsidRPr="00A02A87" w:rsidRDefault="00C80751" w:rsidP="00C80751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27-10-2020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2421" w14:textId="308A6327" w:rsidR="00C80751" w:rsidRPr="00A02A87" w:rsidRDefault="00C80751" w:rsidP="00C80751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EDSN</w:t>
            </w:r>
          </w:p>
        </w:tc>
      </w:tr>
      <w:tr w:rsidR="00693F78" w:rsidRPr="00B632BB" w14:paraId="0E01A05B" w14:textId="77777777" w:rsidTr="00E5665C">
        <w:trPr>
          <w:trHeight w:val="23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101D5" w14:textId="60CBAD20" w:rsidR="00693F78" w:rsidRPr="00A02A87" w:rsidRDefault="005C5C0B" w:rsidP="001C393F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038DA" w14:textId="2D14F4DE" w:rsidR="00693F78" w:rsidRPr="00A02A87" w:rsidRDefault="00764884" w:rsidP="001C393F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 xml:space="preserve">Business Service </w:t>
            </w:r>
            <w:r w:rsidRPr="00A02A87">
              <w:rPr>
                <w:i/>
                <w:iCs/>
                <w:szCs w:val="22"/>
              </w:rPr>
              <w:t>Uitwisselen meetgegevens tijdseries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1A909" w14:textId="0F4353BB" w:rsidR="00693F78" w:rsidRPr="00A02A87" w:rsidRDefault="00764884" w:rsidP="001C393F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4</w:t>
            </w:r>
            <w:r w:rsidR="009317FA" w:rsidRPr="00A02A87">
              <w:rPr>
                <w:szCs w:val="22"/>
              </w:rPr>
              <w:t>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E8DB2" w14:textId="47512F26" w:rsidR="00693F78" w:rsidRPr="00A02A87" w:rsidRDefault="00764884" w:rsidP="001C393F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18-02-2021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C4D3" w14:textId="089D6780" w:rsidR="00693F78" w:rsidRPr="00A02A87" w:rsidRDefault="009317FA" w:rsidP="001C393F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EDSN</w:t>
            </w:r>
          </w:p>
        </w:tc>
      </w:tr>
      <w:tr w:rsidR="00C82012" w:rsidRPr="00B632BB" w14:paraId="7A0A619E" w14:textId="77777777" w:rsidTr="00E5665C">
        <w:trPr>
          <w:trHeight w:val="23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18465" w14:textId="043E63A7" w:rsidR="00C82012" w:rsidRPr="00A02A87" w:rsidRDefault="005C5C0B" w:rsidP="00C82012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0FF83" w14:textId="5F044E76" w:rsidR="00C82012" w:rsidRPr="00A02A87" w:rsidRDefault="00764884" w:rsidP="00C82012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 xml:space="preserve">Business Service </w:t>
            </w:r>
            <w:r w:rsidRPr="00A02A87">
              <w:rPr>
                <w:i/>
                <w:iCs/>
                <w:szCs w:val="22"/>
              </w:rPr>
              <w:t>Uitwisselen meetgegevens volumes installatie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74949" w14:textId="1DC8BCB0" w:rsidR="00C82012" w:rsidRPr="00A02A87" w:rsidRDefault="00C82012" w:rsidP="00C82012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2.0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369BC" w14:textId="6A02835D" w:rsidR="00C82012" w:rsidRPr="00A02A87" w:rsidRDefault="00764884" w:rsidP="00C82012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18-02-2021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2092" w14:textId="1F76CC73" w:rsidR="00C82012" w:rsidRPr="00A02A87" w:rsidRDefault="00C82012" w:rsidP="00C82012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EDSN</w:t>
            </w:r>
          </w:p>
        </w:tc>
      </w:tr>
      <w:tr w:rsidR="00764884" w:rsidRPr="00B632BB" w14:paraId="4C2F5610" w14:textId="77777777" w:rsidTr="00E5665C">
        <w:trPr>
          <w:trHeight w:val="23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FEFC4" w14:textId="50DAA81A" w:rsidR="00764884" w:rsidRPr="00A02A87" w:rsidRDefault="005C5C0B" w:rsidP="00764884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E3EB2" w14:textId="6B15DE0C" w:rsidR="00764884" w:rsidRPr="00A02A87" w:rsidRDefault="00764884" w:rsidP="00764884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 xml:space="preserve">Business Service </w:t>
            </w:r>
            <w:r w:rsidRPr="00A02A87">
              <w:rPr>
                <w:i/>
                <w:iCs/>
                <w:szCs w:val="22"/>
              </w:rPr>
              <w:t>Uitwisselen meetgegevens volumes en meterstanden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7FC51" w14:textId="634E0F8F" w:rsidR="00764884" w:rsidRPr="00A02A87" w:rsidRDefault="00764884" w:rsidP="00764884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2.0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79E79" w14:textId="026BCA53" w:rsidR="00764884" w:rsidRPr="00A02A87" w:rsidRDefault="00764884" w:rsidP="00764884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18-02-2021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42ED" w14:textId="7C3D73F1" w:rsidR="00764884" w:rsidRPr="00A02A87" w:rsidRDefault="00764884" w:rsidP="00764884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EDSN</w:t>
            </w:r>
          </w:p>
        </w:tc>
      </w:tr>
      <w:tr w:rsidR="00764884" w:rsidRPr="00B632BB" w14:paraId="4FA12CCA" w14:textId="77777777" w:rsidTr="00E5665C">
        <w:trPr>
          <w:trHeight w:val="23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90429" w14:textId="314DC9E3" w:rsidR="00764884" w:rsidRPr="00A02A87" w:rsidRDefault="005C5C0B" w:rsidP="00764884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172E3" w14:textId="60AC41D5" w:rsidR="00764884" w:rsidRPr="00A02A87" w:rsidRDefault="00764884" w:rsidP="00764884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 xml:space="preserve">Business Service </w:t>
            </w:r>
            <w:r w:rsidRPr="00A02A87">
              <w:rPr>
                <w:i/>
                <w:iCs/>
                <w:szCs w:val="22"/>
              </w:rPr>
              <w:t>Uitwisselen herzieningsverzoeken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127B5" w14:textId="458D21F2" w:rsidR="00764884" w:rsidRPr="00A02A87" w:rsidRDefault="00764884" w:rsidP="00764884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2.0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D4243" w14:textId="7E6BB7A9" w:rsidR="00764884" w:rsidRPr="00A02A87" w:rsidRDefault="00764884" w:rsidP="00764884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18-02-2021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F9C1" w14:textId="0571BE1E" w:rsidR="00764884" w:rsidRPr="00A02A87" w:rsidRDefault="00764884" w:rsidP="00764884">
            <w:pPr>
              <w:keepNext/>
              <w:keepLines/>
              <w:snapToGrid w:val="0"/>
              <w:rPr>
                <w:szCs w:val="22"/>
              </w:rPr>
            </w:pPr>
            <w:r w:rsidRPr="00A02A87">
              <w:rPr>
                <w:szCs w:val="22"/>
              </w:rPr>
              <w:t>EDSN</w:t>
            </w:r>
          </w:p>
        </w:tc>
      </w:tr>
    </w:tbl>
    <w:p w14:paraId="221C710C" w14:textId="77777777" w:rsidR="00693F78" w:rsidRPr="00B632BB" w:rsidRDefault="00693F78" w:rsidP="00693F78"/>
    <w:p w14:paraId="7181FC49" w14:textId="77777777" w:rsidR="00255328" w:rsidRDefault="00255328">
      <w:pPr>
        <w:widowControl/>
        <w:spacing w:line="240" w:lineRule="auto"/>
        <w:rPr>
          <w:i/>
          <w:szCs w:val="18"/>
        </w:rPr>
      </w:pPr>
      <w:r>
        <w:rPr>
          <w:i/>
          <w:szCs w:val="18"/>
        </w:rPr>
        <w:br w:type="page"/>
      </w:r>
    </w:p>
    <w:p w14:paraId="38299E38" w14:textId="75985F03" w:rsidR="00693F78" w:rsidRPr="00B632BB" w:rsidRDefault="00693F78" w:rsidP="00693F78">
      <w:pPr>
        <w:outlineLvl w:val="0"/>
        <w:rPr>
          <w:i/>
          <w:szCs w:val="18"/>
        </w:rPr>
      </w:pPr>
      <w:r w:rsidRPr="00B632BB">
        <w:rPr>
          <w:i/>
          <w:szCs w:val="18"/>
        </w:rPr>
        <w:lastRenderedPageBreak/>
        <w:t>Documentbeheer</w:t>
      </w:r>
    </w:p>
    <w:tbl>
      <w:tblPr>
        <w:tblW w:w="1005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472"/>
        <w:gridCol w:w="1715"/>
        <w:gridCol w:w="6868"/>
      </w:tblGrid>
      <w:tr w:rsidR="00693F78" w:rsidRPr="00B632BB" w14:paraId="496D9104" w14:textId="77777777" w:rsidTr="001C393F">
        <w:trPr>
          <w:trHeight w:val="280"/>
          <w:tblHeader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2FA7A169" w14:textId="77777777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Versie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CE81588" w14:textId="77777777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  <w:r w:rsidRPr="00B632BB">
              <w:rPr>
                <w:b/>
                <w:szCs w:val="18"/>
              </w:rPr>
              <w:t>Datum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E8EDAD1" w14:textId="5C484CCA" w:rsidR="00693F78" w:rsidRPr="00B632BB" w:rsidRDefault="00693F78" w:rsidP="001C393F">
            <w:pPr>
              <w:snapToGrid w:val="0"/>
              <w:rPr>
                <w:b/>
                <w:szCs w:val="18"/>
              </w:rPr>
            </w:pPr>
          </w:p>
        </w:tc>
      </w:tr>
      <w:tr w:rsidR="00693F78" w:rsidRPr="00B632BB" w14:paraId="46E3784F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1217F" w14:textId="466E8DA7" w:rsidR="00693F78" w:rsidRPr="00B632BB" w:rsidRDefault="00C82012" w:rsidP="001C393F">
            <w:pPr>
              <w:snapToGrid w:val="0"/>
              <w:rPr>
                <w:szCs w:val="18"/>
              </w:rPr>
            </w:pPr>
            <w:r w:rsidRPr="00B632BB">
              <w:rPr>
                <w:szCs w:val="18"/>
              </w:rPr>
              <w:t>0.1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EACDA" w14:textId="606E2A31" w:rsidR="00693F78" w:rsidRPr="00B632BB" w:rsidRDefault="00A02A87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07-04</w:t>
            </w:r>
            <w:r w:rsidR="00C82012" w:rsidRPr="00B632BB">
              <w:rPr>
                <w:szCs w:val="18"/>
              </w:rPr>
              <w:t>-202</w:t>
            </w:r>
            <w:r w:rsidR="00764884" w:rsidRPr="00B632BB">
              <w:rPr>
                <w:szCs w:val="18"/>
              </w:rPr>
              <w:t>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E502" w14:textId="48DA8284" w:rsidR="00693F78" w:rsidRPr="00B632BB" w:rsidRDefault="00C82012" w:rsidP="001C393F">
            <w:pPr>
              <w:snapToGrid w:val="0"/>
              <w:rPr>
                <w:szCs w:val="18"/>
              </w:rPr>
            </w:pPr>
            <w:r w:rsidRPr="00B632BB">
              <w:rPr>
                <w:szCs w:val="18"/>
              </w:rPr>
              <w:t>Initiële opzet</w:t>
            </w:r>
          </w:p>
        </w:tc>
      </w:tr>
      <w:tr w:rsidR="00293620" w:rsidRPr="00B632BB" w14:paraId="1B59C755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B4ED6" w14:textId="145D3C8C" w:rsidR="00293620" w:rsidRPr="00B632BB" w:rsidRDefault="00293620" w:rsidP="00293620">
            <w:pPr>
              <w:snapToGrid w:val="0"/>
              <w:rPr>
                <w:szCs w:val="18"/>
              </w:rPr>
            </w:pPr>
            <w:r w:rsidRPr="00B632BB">
              <w:rPr>
                <w:szCs w:val="18"/>
              </w:rPr>
              <w:t>0.2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C1CF1" w14:textId="72EF047A" w:rsidR="00293620" w:rsidRPr="00B632BB" w:rsidRDefault="00293620" w:rsidP="00293620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14-04</w:t>
            </w:r>
            <w:r w:rsidRPr="00B632BB">
              <w:rPr>
                <w:szCs w:val="18"/>
              </w:rPr>
              <w:t>-2021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220A" w14:textId="1E3538A6" w:rsidR="00293620" w:rsidRPr="00B632BB" w:rsidRDefault="00293620" w:rsidP="00293620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Aan</w:t>
            </w:r>
            <w:r w:rsidR="00FC3A1E">
              <w:rPr>
                <w:szCs w:val="18"/>
              </w:rPr>
              <w:t xml:space="preserve">gevuld met </w:t>
            </w:r>
            <w:r w:rsidR="005B3188">
              <w:rPr>
                <w:szCs w:val="18"/>
              </w:rPr>
              <w:t>c</w:t>
            </w:r>
            <w:r w:rsidR="00FC3A1E">
              <w:rPr>
                <w:szCs w:val="18"/>
              </w:rPr>
              <w:t>ontroles en foutmeldingen</w:t>
            </w:r>
          </w:p>
        </w:tc>
      </w:tr>
      <w:tr w:rsidR="00F566BA" w:rsidRPr="00B632BB" w14:paraId="47ADAEFF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4F9DB" w14:textId="0BBA3C7C" w:rsidR="00F566BA" w:rsidRPr="00B632BB" w:rsidRDefault="00F566BA" w:rsidP="00F566BA">
            <w:pPr>
              <w:snapToGrid w:val="0"/>
              <w:rPr>
                <w:szCs w:val="18"/>
              </w:rPr>
            </w:pPr>
            <w:r w:rsidRPr="00B632BB">
              <w:rPr>
                <w:szCs w:val="18"/>
              </w:rPr>
              <w:t>0.2</w:t>
            </w:r>
            <w:r>
              <w:rPr>
                <w:szCs w:val="18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22B56" w14:textId="12C9FDCF" w:rsidR="00F566BA" w:rsidRDefault="00F566BA" w:rsidP="00F566BA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15-04</w:t>
            </w:r>
            <w:r w:rsidRPr="00B632BB">
              <w:rPr>
                <w:szCs w:val="18"/>
              </w:rPr>
              <w:t>-2021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67D7" w14:textId="6054545C" w:rsidR="00F566BA" w:rsidRDefault="00F566BA" w:rsidP="00F566BA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Aangevuld met controles en foutmeldingen</w:t>
            </w:r>
          </w:p>
        </w:tc>
      </w:tr>
      <w:tr w:rsidR="00744BDF" w:rsidRPr="00B632BB" w14:paraId="6BE47457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0B85B" w14:textId="35185FBA" w:rsidR="00744BDF" w:rsidRPr="00B632BB" w:rsidRDefault="00744BDF" w:rsidP="00744BDF">
            <w:pPr>
              <w:snapToGrid w:val="0"/>
              <w:rPr>
                <w:szCs w:val="18"/>
              </w:rPr>
            </w:pPr>
            <w:r w:rsidRPr="00B632BB">
              <w:rPr>
                <w:szCs w:val="18"/>
              </w:rPr>
              <w:t>0.3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D68E7" w14:textId="249E9A24" w:rsidR="00744BDF" w:rsidRPr="00B632BB" w:rsidRDefault="00744BDF" w:rsidP="00744BD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23-04</w:t>
            </w:r>
            <w:r w:rsidRPr="00B632BB">
              <w:rPr>
                <w:szCs w:val="18"/>
              </w:rPr>
              <w:t>-2021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4AB2" w14:textId="684885F5" w:rsidR="00744BDF" w:rsidRPr="00B632BB" w:rsidRDefault="00744BDF" w:rsidP="00744BD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Bijgewerkt n</w:t>
            </w:r>
            <w:r w:rsidR="00E14296">
              <w:rPr>
                <w:szCs w:val="18"/>
              </w:rPr>
              <w:t>.</w:t>
            </w:r>
            <w:r>
              <w:rPr>
                <w:szCs w:val="18"/>
              </w:rPr>
              <w:t>a</w:t>
            </w:r>
            <w:r w:rsidR="00E14296">
              <w:rPr>
                <w:szCs w:val="18"/>
              </w:rPr>
              <w:t>.</w:t>
            </w:r>
            <w:r>
              <w:rPr>
                <w:szCs w:val="18"/>
              </w:rPr>
              <w:t>v</w:t>
            </w:r>
            <w:r w:rsidR="00E14296">
              <w:rPr>
                <w:szCs w:val="18"/>
              </w:rPr>
              <w:t>.</w:t>
            </w:r>
            <w:r>
              <w:rPr>
                <w:szCs w:val="18"/>
              </w:rPr>
              <w:t xml:space="preserve"> afstemming met TenneT</w:t>
            </w:r>
          </w:p>
        </w:tc>
      </w:tr>
      <w:tr w:rsidR="002A755B" w:rsidRPr="00B632BB" w14:paraId="76A70B13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04FE9" w14:textId="6EE05CC6" w:rsidR="002A755B" w:rsidRPr="00B632BB" w:rsidRDefault="002A755B" w:rsidP="002A755B">
            <w:pPr>
              <w:snapToGrid w:val="0"/>
              <w:rPr>
                <w:szCs w:val="18"/>
              </w:rPr>
            </w:pPr>
            <w:r w:rsidRPr="00B632BB">
              <w:rPr>
                <w:szCs w:val="18"/>
              </w:rPr>
              <w:t>0.6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6596F" w14:textId="53F865A9" w:rsidR="002A755B" w:rsidRPr="00B632BB" w:rsidRDefault="002A755B" w:rsidP="002A755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27-04</w:t>
            </w:r>
            <w:r w:rsidRPr="00B632BB">
              <w:rPr>
                <w:szCs w:val="18"/>
              </w:rPr>
              <w:t>-2021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F593" w14:textId="72A4B35C" w:rsidR="002A755B" w:rsidRPr="00B632BB" w:rsidRDefault="002A755B" w:rsidP="002A755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Bijgewerkt n</w:t>
            </w:r>
            <w:r w:rsidR="00E14296">
              <w:rPr>
                <w:szCs w:val="18"/>
              </w:rPr>
              <w:t>.</w:t>
            </w:r>
            <w:r>
              <w:rPr>
                <w:szCs w:val="18"/>
              </w:rPr>
              <w:t>a</w:t>
            </w:r>
            <w:r w:rsidR="00E14296">
              <w:rPr>
                <w:szCs w:val="18"/>
              </w:rPr>
              <w:t>.</w:t>
            </w:r>
            <w:r>
              <w:rPr>
                <w:szCs w:val="18"/>
              </w:rPr>
              <w:t>v</w:t>
            </w:r>
            <w:r w:rsidR="00E14296">
              <w:rPr>
                <w:szCs w:val="18"/>
              </w:rPr>
              <w:t>.</w:t>
            </w:r>
            <w:r>
              <w:rPr>
                <w:szCs w:val="18"/>
              </w:rPr>
              <w:t xml:space="preserve"> reviewronde</w:t>
            </w:r>
          </w:p>
        </w:tc>
      </w:tr>
      <w:tr w:rsidR="00C54470" w:rsidRPr="00B632BB" w14:paraId="73C8832B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1CC95" w14:textId="594EABE7" w:rsidR="00C54470" w:rsidRPr="00B632BB" w:rsidRDefault="00C54470" w:rsidP="00C54470">
            <w:pPr>
              <w:snapToGrid w:val="0"/>
              <w:rPr>
                <w:szCs w:val="18"/>
              </w:rPr>
            </w:pPr>
            <w:r w:rsidRPr="00B632BB">
              <w:rPr>
                <w:szCs w:val="18"/>
              </w:rPr>
              <w:t>0.</w:t>
            </w:r>
            <w:r w:rsidR="0038313E">
              <w:rPr>
                <w:szCs w:val="18"/>
              </w:rPr>
              <w:t>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22A0C" w14:textId="10B2D7CA" w:rsidR="00C54470" w:rsidRDefault="00C54470" w:rsidP="00C54470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28-04</w:t>
            </w:r>
            <w:r w:rsidRPr="00B632BB">
              <w:rPr>
                <w:szCs w:val="18"/>
              </w:rPr>
              <w:t>-2021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F7DC" w14:textId="60177B14" w:rsidR="00C54470" w:rsidRDefault="0038313E" w:rsidP="00C54470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RFC TR2021.x gewijzigd in RFC TR2021.5</w:t>
            </w:r>
          </w:p>
        </w:tc>
      </w:tr>
      <w:tr w:rsidR="00AB2566" w:rsidRPr="00B632BB" w14:paraId="75839E68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6FA3B" w14:textId="7A713749" w:rsidR="00AB2566" w:rsidRPr="00B632BB" w:rsidRDefault="00AB2566" w:rsidP="00AB2566">
            <w:pPr>
              <w:snapToGrid w:val="0"/>
              <w:rPr>
                <w:szCs w:val="18"/>
              </w:rPr>
            </w:pPr>
            <w:r w:rsidRPr="00B632BB">
              <w:rPr>
                <w:szCs w:val="18"/>
              </w:rPr>
              <w:t>0.</w:t>
            </w:r>
            <w:r>
              <w:rPr>
                <w:szCs w:val="18"/>
              </w:rPr>
              <w:t>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A5E8F" w14:textId="198D24F2" w:rsidR="00AB2566" w:rsidRDefault="00AB2566" w:rsidP="00AB256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10-05</w:t>
            </w:r>
            <w:r w:rsidRPr="00B632BB">
              <w:rPr>
                <w:szCs w:val="18"/>
              </w:rPr>
              <w:t>-2021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657A" w14:textId="39B3B48F" w:rsidR="00AB2566" w:rsidRDefault="00AB2566" w:rsidP="00AB256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Bijgewerkt </w:t>
            </w:r>
            <w:proofErr w:type="spellStart"/>
            <w:r>
              <w:rPr>
                <w:szCs w:val="18"/>
              </w:rPr>
              <w:t>nav</w:t>
            </w:r>
            <w:proofErr w:type="spellEnd"/>
            <w:r>
              <w:rPr>
                <w:szCs w:val="18"/>
              </w:rPr>
              <w:t xml:space="preserve"> externe reviewronde </w:t>
            </w:r>
            <w:r w:rsidR="00F96F0E">
              <w:rPr>
                <w:szCs w:val="18"/>
              </w:rPr>
              <w:t>langs</w:t>
            </w:r>
            <w:r>
              <w:rPr>
                <w:szCs w:val="18"/>
              </w:rPr>
              <w:t xml:space="preserve"> stakeholders</w:t>
            </w:r>
            <w:r w:rsidR="00F96F0E">
              <w:rPr>
                <w:szCs w:val="18"/>
              </w:rPr>
              <w:t xml:space="preserve"> (C-ARM, leden werkgroep Meetdata GV, </w:t>
            </w:r>
            <w:proofErr w:type="spellStart"/>
            <w:r w:rsidR="00F96F0E">
              <w:rPr>
                <w:szCs w:val="18"/>
              </w:rPr>
              <w:t>CoP</w:t>
            </w:r>
            <w:proofErr w:type="spellEnd"/>
            <w:r w:rsidR="00F96F0E">
              <w:rPr>
                <w:szCs w:val="18"/>
              </w:rPr>
              <w:t xml:space="preserve"> MMC hub)</w:t>
            </w:r>
          </w:p>
        </w:tc>
      </w:tr>
      <w:tr w:rsidR="00D460E7" w:rsidRPr="00B632BB" w14:paraId="2F07ADB4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651B0" w14:textId="3384B088" w:rsidR="00D460E7" w:rsidRPr="00B632BB" w:rsidRDefault="00D460E7" w:rsidP="00D460E7">
            <w:pPr>
              <w:snapToGrid w:val="0"/>
              <w:rPr>
                <w:szCs w:val="18"/>
              </w:rPr>
            </w:pPr>
            <w:r w:rsidRPr="00B632BB">
              <w:rPr>
                <w:szCs w:val="18"/>
              </w:rPr>
              <w:t>0.</w:t>
            </w:r>
            <w:r>
              <w:rPr>
                <w:szCs w:val="18"/>
              </w:rPr>
              <w:t>8</w:t>
            </w:r>
            <w:r w:rsidR="000F58CB">
              <w:rPr>
                <w:szCs w:val="18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88BA7" w14:textId="1A76CAB0" w:rsidR="00D460E7" w:rsidRDefault="00BA55BC" w:rsidP="00D460E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0F58CB">
              <w:rPr>
                <w:szCs w:val="18"/>
              </w:rPr>
              <w:t>5</w:t>
            </w:r>
            <w:r w:rsidR="00D460E7">
              <w:rPr>
                <w:szCs w:val="18"/>
              </w:rPr>
              <w:t>-05</w:t>
            </w:r>
            <w:r w:rsidR="00D460E7" w:rsidRPr="00B632BB">
              <w:rPr>
                <w:szCs w:val="18"/>
              </w:rPr>
              <w:t>-2021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60C9" w14:textId="27D6293D" w:rsidR="00D460E7" w:rsidRDefault="00D460E7" w:rsidP="00D460E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Bijgewerkt </w:t>
            </w:r>
            <w:proofErr w:type="spellStart"/>
            <w:r>
              <w:rPr>
                <w:szCs w:val="18"/>
              </w:rPr>
              <w:t>nav</w:t>
            </w:r>
            <w:proofErr w:type="spellEnd"/>
            <w:r>
              <w:rPr>
                <w:szCs w:val="18"/>
              </w:rPr>
              <w:t xml:space="preserve"> afste</w:t>
            </w:r>
            <w:r w:rsidR="002B7C75">
              <w:rPr>
                <w:szCs w:val="18"/>
              </w:rPr>
              <w:t xml:space="preserve">mming </w:t>
            </w:r>
            <w:r>
              <w:rPr>
                <w:szCs w:val="18"/>
              </w:rPr>
              <w:t xml:space="preserve">met </w:t>
            </w:r>
            <w:r w:rsidR="002B7C75">
              <w:rPr>
                <w:szCs w:val="18"/>
              </w:rPr>
              <w:t>T</w:t>
            </w:r>
            <w:r>
              <w:rPr>
                <w:szCs w:val="18"/>
              </w:rPr>
              <w:t xml:space="preserve">enneT over </w:t>
            </w:r>
            <w:proofErr w:type="spellStart"/>
            <w:r w:rsidR="002B7C75">
              <w:rPr>
                <w:szCs w:val="18"/>
              </w:rPr>
              <w:t>validaties</w:t>
            </w:r>
            <w:proofErr w:type="spellEnd"/>
            <w:r>
              <w:rPr>
                <w:szCs w:val="18"/>
              </w:rPr>
              <w:t xml:space="preserve"> MMC hub</w:t>
            </w:r>
          </w:p>
        </w:tc>
      </w:tr>
      <w:tr w:rsidR="00DD3B4B" w:rsidRPr="00B632BB" w14:paraId="6888A0DD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74F04" w14:textId="511850F7" w:rsidR="00DD3B4B" w:rsidRPr="00B632BB" w:rsidRDefault="00DD3B4B" w:rsidP="001C393F">
            <w:pPr>
              <w:snapToGrid w:val="0"/>
              <w:rPr>
                <w:szCs w:val="18"/>
              </w:rPr>
            </w:pPr>
            <w:r w:rsidRPr="00B632BB">
              <w:rPr>
                <w:szCs w:val="18"/>
              </w:rPr>
              <w:t>0.</w:t>
            </w:r>
            <w:r w:rsidR="00174704">
              <w:rPr>
                <w:szCs w:val="18"/>
              </w:rPr>
              <w:t>8</w:t>
            </w:r>
            <w:r w:rsidR="00B218CD">
              <w:rPr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F1CA1" w14:textId="61786510" w:rsidR="00DD3B4B" w:rsidRPr="00B632BB" w:rsidRDefault="00B218CD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18-06-2021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0D9A" w14:textId="53E536BB" w:rsidR="00DD3B4B" w:rsidRPr="00B632BB" w:rsidRDefault="00B218CD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Na Besluit SR NEDU</w:t>
            </w:r>
          </w:p>
        </w:tc>
      </w:tr>
      <w:tr w:rsidR="00B218CD" w:rsidRPr="00B632BB" w14:paraId="0F271B7D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C609F" w14:textId="39A91E11" w:rsidR="00B218CD" w:rsidRPr="00B632BB" w:rsidRDefault="00B218CD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0.85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35FE6" w14:textId="52FCD017" w:rsidR="00B218CD" w:rsidRDefault="00B218CD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C677C9">
              <w:rPr>
                <w:szCs w:val="18"/>
              </w:rPr>
              <w:t>4</w:t>
            </w:r>
            <w:r>
              <w:rPr>
                <w:szCs w:val="18"/>
              </w:rPr>
              <w:t>-06-20</w:t>
            </w:r>
            <w:r w:rsidR="00FA6603">
              <w:rPr>
                <w:szCs w:val="18"/>
              </w:rPr>
              <w:t>2</w:t>
            </w:r>
            <w:r>
              <w:rPr>
                <w:szCs w:val="18"/>
              </w:rPr>
              <w:t>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AD82" w14:textId="4B0A9575" w:rsidR="00B218CD" w:rsidRDefault="00B218CD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Format niet volledig ingevuld en aangevuld. </w:t>
            </w:r>
            <w:r w:rsidR="00C677C9">
              <w:rPr>
                <w:szCs w:val="18"/>
              </w:rPr>
              <w:t>Aangevuld na besluit CA</w:t>
            </w:r>
          </w:p>
        </w:tc>
      </w:tr>
      <w:tr w:rsidR="0038313E" w:rsidRPr="00B632BB" w14:paraId="01937742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08F2F" w14:textId="27147761" w:rsidR="0038313E" w:rsidRPr="00B632BB" w:rsidRDefault="00193D50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C677C9">
              <w:rPr>
                <w:szCs w:val="18"/>
              </w:rPr>
              <w:t>86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1F390" w14:textId="11F713CD" w:rsidR="0038313E" w:rsidRPr="00B632BB" w:rsidRDefault="00C677C9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02-07-2021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ADF6" w14:textId="2C70DABA" w:rsidR="0038313E" w:rsidRPr="00B632BB" w:rsidRDefault="00C677C9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Versie besluit SR NEDU</w:t>
            </w:r>
            <w:r w:rsidR="00BA6C2C">
              <w:rPr>
                <w:szCs w:val="18"/>
              </w:rPr>
              <w:t xml:space="preserve"> en SSG A2.0</w:t>
            </w:r>
          </w:p>
        </w:tc>
      </w:tr>
      <w:tr w:rsidR="00193D50" w:rsidRPr="00B632BB" w14:paraId="61344ACC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83ABA" w14:textId="518C9BD8" w:rsidR="00193D50" w:rsidRDefault="002F17F6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1CD23" w14:textId="7F267400" w:rsidR="00193D50" w:rsidRPr="00B632BB" w:rsidRDefault="00BA6C2C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14-07-2021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69D8" w14:textId="71AF76B8" w:rsidR="00193D50" w:rsidRPr="00B632BB" w:rsidRDefault="00BA6C2C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Versie besluit ALV NEDU</w:t>
            </w:r>
          </w:p>
        </w:tc>
      </w:tr>
    </w:tbl>
    <w:p w14:paraId="3A0911D4" w14:textId="77777777" w:rsidR="002076C6" w:rsidRPr="00B632BB" w:rsidRDefault="004F2926" w:rsidP="006F2A22">
      <w:pPr>
        <w:widowControl/>
        <w:spacing w:line="240" w:lineRule="auto"/>
      </w:pPr>
    </w:p>
    <w:sectPr w:rsidR="002076C6" w:rsidRPr="00B632BB" w:rsidSect="00177A61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3005" w:right="1418" w:bottom="567" w:left="1418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79279" w14:textId="77777777" w:rsidR="004F2926" w:rsidRDefault="004F2926">
      <w:pPr>
        <w:spacing w:line="240" w:lineRule="auto"/>
      </w:pPr>
      <w:r>
        <w:separator/>
      </w:r>
    </w:p>
  </w:endnote>
  <w:endnote w:type="continuationSeparator" w:id="0">
    <w:p w14:paraId="747DBC8A" w14:textId="77777777" w:rsidR="004F2926" w:rsidRDefault="004F2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B3B5D" w14:textId="77777777" w:rsidR="00E430E1" w:rsidRDefault="004F2926" w:rsidP="001B0ADD">
    <w:pPr>
      <w:pStyle w:val="Voettekst"/>
      <w:tabs>
        <w:tab w:val="center" w:pos="9072"/>
      </w:tabs>
      <w:rPr>
        <w:color w:val="000000" w:themeColor="text1"/>
      </w:rPr>
    </w:pPr>
  </w:p>
  <w:p w14:paraId="0AD15759" w14:textId="77777777" w:rsidR="00E430E1" w:rsidRDefault="004F2926" w:rsidP="00E430E1">
    <w:pPr>
      <w:pStyle w:val="Voettekst"/>
      <w:rPr>
        <w:color w:val="000000" w:themeColor="text1"/>
      </w:rPr>
    </w:pPr>
  </w:p>
  <w:p w14:paraId="1C10AEDA" w14:textId="77777777" w:rsidR="008104AF" w:rsidRDefault="00693F78">
    <w:pPr>
      <w:pStyle w:val="Voettekst"/>
    </w:pPr>
    <w:r>
      <w:rPr>
        <w:color w:val="000000" w:themeColor="text1"/>
      </w:rPr>
      <w:t>www.nedu.nl</w:t>
    </w:r>
    <w:r>
      <w:t xml:space="preserve"> </w:t>
    </w:r>
    <w:r>
      <w:tab/>
    </w:r>
    <w:r>
      <w:tab/>
    </w:r>
    <w:r w:rsidRPr="00DA03D4">
      <w:rPr>
        <w:b/>
      </w:rPr>
      <w:fldChar w:fldCharType="begin"/>
    </w:r>
    <w:r w:rsidRPr="00DA03D4">
      <w:rPr>
        <w:b/>
      </w:rPr>
      <w:instrText xml:space="preserve"> PAGE   \* MERGEFORMAT </w:instrText>
    </w:r>
    <w:r w:rsidRPr="00DA03D4">
      <w:rPr>
        <w:b/>
      </w:rPr>
      <w:fldChar w:fldCharType="separate"/>
    </w:r>
    <w:r w:rsidR="00BC2728">
      <w:rPr>
        <w:b/>
        <w:noProof/>
      </w:rPr>
      <w:t>9</w:t>
    </w:r>
    <w:r w:rsidRPr="00DA03D4">
      <w:rPr>
        <w:b/>
      </w:rPr>
      <w:fldChar w:fldCharType="end"/>
    </w:r>
    <w:r w:rsidRPr="00DA03D4">
      <w:rPr>
        <w:b/>
      </w:rPr>
      <w:t xml:space="preserve"> - </w:t>
    </w:r>
    <w:r w:rsidRPr="00DA03D4">
      <w:rPr>
        <w:b/>
      </w:rPr>
      <w:fldChar w:fldCharType="begin"/>
    </w:r>
    <w:r w:rsidRPr="00DA03D4">
      <w:rPr>
        <w:b/>
      </w:rPr>
      <w:instrText xml:space="preserve"> NUMPAGES   \* MERGEFORMAT </w:instrText>
    </w:r>
    <w:r w:rsidRPr="00DA03D4">
      <w:rPr>
        <w:b/>
      </w:rPr>
      <w:fldChar w:fldCharType="separate"/>
    </w:r>
    <w:r w:rsidR="00BC2728">
      <w:rPr>
        <w:b/>
        <w:noProof/>
      </w:rPr>
      <w:t>9</w:t>
    </w:r>
    <w:r w:rsidRPr="00DA03D4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AE024" w14:textId="77777777" w:rsidR="00E430E1" w:rsidRDefault="004F2926">
    <w:pPr>
      <w:pStyle w:val="Voettekst"/>
      <w:rPr>
        <w:color w:val="000000" w:themeColor="text1"/>
      </w:rPr>
    </w:pPr>
  </w:p>
  <w:p w14:paraId="0B05921C" w14:textId="77777777" w:rsidR="00E430E1" w:rsidRDefault="004F2926">
    <w:pPr>
      <w:pStyle w:val="Voettekst"/>
      <w:rPr>
        <w:color w:val="000000" w:themeColor="text1"/>
      </w:rPr>
    </w:pPr>
  </w:p>
  <w:p w14:paraId="6FC2E528" w14:textId="77777777" w:rsidR="008104AF" w:rsidRDefault="00693F78">
    <w:pPr>
      <w:pStyle w:val="Voettekst"/>
    </w:pPr>
    <w:r>
      <w:rPr>
        <w:color w:val="000000" w:themeColor="text1"/>
      </w:rPr>
      <w:t>www.nedu.nl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62ACA" w14:textId="77777777" w:rsidR="004F2926" w:rsidRDefault="004F2926">
      <w:pPr>
        <w:spacing w:line="240" w:lineRule="auto"/>
      </w:pPr>
      <w:r>
        <w:separator/>
      </w:r>
    </w:p>
  </w:footnote>
  <w:footnote w:type="continuationSeparator" w:id="0">
    <w:p w14:paraId="79CAC0DC" w14:textId="77777777" w:rsidR="004F2926" w:rsidRDefault="004F29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CEB09" w14:textId="77777777" w:rsidR="006F2A22" w:rsidRDefault="00693F78">
    <w:pPr>
      <w:pStyle w:val="Koptekst"/>
    </w:pPr>
    <w:r>
      <w:rPr>
        <w:noProof/>
        <w:snapToGrid/>
      </w:rPr>
      <w:drawing>
        <wp:anchor distT="0" distB="0" distL="114300" distR="114300" simplePos="0" relativeHeight="251660288" behindDoc="0" locked="0" layoutInCell="1" allowOverlap="1" wp14:anchorId="50517D32" wp14:editId="613CCB5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30400" cy="428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F33C0" w14:textId="77777777" w:rsidR="007A271E" w:rsidRDefault="00693F78">
    <w:pPr>
      <w:pStyle w:val="Koptekst"/>
    </w:pPr>
    <w:r>
      <w:rPr>
        <w:noProof/>
        <w:snapToGrid/>
      </w:rPr>
      <w:drawing>
        <wp:anchor distT="0" distB="0" distL="114300" distR="114300" simplePos="0" relativeHeight="251659264" behindDoc="1" locked="0" layoutInCell="1" allowOverlap="1" wp14:anchorId="7451C32F" wp14:editId="7FB9E891">
          <wp:simplePos x="0" y="0"/>
          <wp:positionH relativeFrom="column">
            <wp:posOffset>-900430</wp:posOffset>
          </wp:positionH>
          <wp:positionV relativeFrom="paragraph">
            <wp:posOffset>-488315</wp:posOffset>
          </wp:positionV>
          <wp:extent cx="7553325" cy="10753725"/>
          <wp:effectExtent l="0" t="0" r="9525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Element-Voorbl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44" cy="10752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58240" behindDoc="0" locked="0" layoutInCell="1" allowOverlap="1" wp14:anchorId="1A1C04AE" wp14:editId="3FEC4062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30400" cy="428400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Logo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95E41"/>
    <w:multiLevelType w:val="hybridMultilevel"/>
    <w:tmpl w:val="38A215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C8D"/>
    <w:multiLevelType w:val="hybridMultilevel"/>
    <w:tmpl w:val="908E3C5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E017D"/>
    <w:multiLevelType w:val="hybridMultilevel"/>
    <w:tmpl w:val="9550AB3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4EBF"/>
    <w:multiLevelType w:val="hybridMultilevel"/>
    <w:tmpl w:val="139C8C7E"/>
    <w:lvl w:ilvl="0" w:tplc="31C01168">
      <w:start w:val="1"/>
      <w:numFmt w:val="decimal"/>
      <w:pStyle w:val="KopjeRFC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802E16"/>
    <w:multiLevelType w:val="hybridMultilevel"/>
    <w:tmpl w:val="8CE80D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6F9B"/>
    <w:multiLevelType w:val="hybridMultilevel"/>
    <w:tmpl w:val="9E98CE32"/>
    <w:lvl w:ilvl="0" w:tplc="D5244A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F5E43"/>
    <w:multiLevelType w:val="hybridMultilevel"/>
    <w:tmpl w:val="B394DF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040E2"/>
    <w:multiLevelType w:val="hybridMultilevel"/>
    <w:tmpl w:val="A93E4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64FF9"/>
    <w:multiLevelType w:val="hybridMultilevel"/>
    <w:tmpl w:val="E45E8D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B2DBD"/>
    <w:multiLevelType w:val="hybridMultilevel"/>
    <w:tmpl w:val="9550AB3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71A21"/>
    <w:multiLevelType w:val="hybridMultilevel"/>
    <w:tmpl w:val="0C3CD27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033726"/>
    <w:multiLevelType w:val="multilevel"/>
    <w:tmpl w:val="549A18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2BBE2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E7D1A18"/>
    <w:multiLevelType w:val="hybridMultilevel"/>
    <w:tmpl w:val="E66A0ED2"/>
    <w:lvl w:ilvl="0" w:tplc="F17228E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kern w:val="22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47D4A"/>
    <w:multiLevelType w:val="hybridMultilevel"/>
    <w:tmpl w:val="B0EAB6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16B43"/>
    <w:multiLevelType w:val="hybridMultilevel"/>
    <w:tmpl w:val="F9B40D4A"/>
    <w:lvl w:ilvl="0" w:tplc="D5244A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E002C"/>
    <w:multiLevelType w:val="multilevel"/>
    <w:tmpl w:val="63288E7C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Kop2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pStyle w:val="Kop3"/>
      <w:lvlText w:val="%1.%2.%3"/>
      <w:lvlJc w:val="left"/>
      <w:pPr>
        <w:ind w:left="1080" w:hanging="360"/>
      </w:pPr>
      <w:rPr>
        <w:rFonts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6D245B"/>
    <w:multiLevelType w:val="hybridMultilevel"/>
    <w:tmpl w:val="C35C39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4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4"/>
  </w:num>
  <w:num w:numId="8">
    <w:abstractNumId w:val="16"/>
  </w:num>
  <w:num w:numId="9">
    <w:abstractNumId w:val="13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6"/>
  </w:num>
  <w:num w:numId="15">
    <w:abstractNumId w:val="3"/>
  </w:num>
  <w:num w:numId="16">
    <w:abstractNumId w:val="3"/>
  </w:num>
  <w:num w:numId="17">
    <w:abstractNumId w:val="7"/>
  </w:num>
  <w:num w:numId="18">
    <w:abstractNumId w:val="10"/>
  </w:num>
  <w:num w:numId="19">
    <w:abstractNumId w:val="1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rgebruik_modelid" w:val="17"/>
    <w:docVar w:name="hergebruik_taalid" w:val="1"/>
    <w:docVar w:name="wwo_logo_present" w:val="no"/>
    <w:docVar w:name="wwo_style_kop1" w:val="Genummerd hoofdstuk"/>
    <w:docVar w:name="wwo_style_kop2" w:val="Genummerde paragraaf"/>
    <w:docVar w:name="wwo_style_kop3" w:val="Genummerde subparagraaf"/>
    <w:docVar w:name="wwo_style_tabelkop" w:val="Tabelkop"/>
    <w:docVar w:name="wwo_style_tabeltekst" w:val="Tabeltekst"/>
  </w:docVars>
  <w:rsids>
    <w:rsidRoot w:val="00693F78"/>
    <w:rsid w:val="00000769"/>
    <w:rsid w:val="0000442C"/>
    <w:rsid w:val="0001406F"/>
    <w:rsid w:val="000152FC"/>
    <w:rsid w:val="0002299C"/>
    <w:rsid w:val="0003461B"/>
    <w:rsid w:val="00036EF3"/>
    <w:rsid w:val="000406F7"/>
    <w:rsid w:val="00043632"/>
    <w:rsid w:val="00060757"/>
    <w:rsid w:val="00071CD4"/>
    <w:rsid w:val="0007220D"/>
    <w:rsid w:val="00073BE9"/>
    <w:rsid w:val="00075489"/>
    <w:rsid w:val="00076BD8"/>
    <w:rsid w:val="00092CFD"/>
    <w:rsid w:val="000957E5"/>
    <w:rsid w:val="000A0018"/>
    <w:rsid w:val="000A0731"/>
    <w:rsid w:val="000A33A2"/>
    <w:rsid w:val="000A3693"/>
    <w:rsid w:val="000B1B67"/>
    <w:rsid w:val="000B7826"/>
    <w:rsid w:val="000C0BF8"/>
    <w:rsid w:val="000C2688"/>
    <w:rsid w:val="000C6E2B"/>
    <w:rsid w:val="000D0514"/>
    <w:rsid w:val="000D1B62"/>
    <w:rsid w:val="000D3EE4"/>
    <w:rsid w:val="000D6499"/>
    <w:rsid w:val="000E2D67"/>
    <w:rsid w:val="000E61F9"/>
    <w:rsid w:val="000F58CB"/>
    <w:rsid w:val="00101260"/>
    <w:rsid w:val="00103847"/>
    <w:rsid w:val="00103BE8"/>
    <w:rsid w:val="00106450"/>
    <w:rsid w:val="00114BA9"/>
    <w:rsid w:val="0012250A"/>
    <w:rsid w:val="00122BC7"/>
    <w:rsid w:val="00125F2D"/>
    <w:rsid w:val="00134E95"/>
    <w:rsid w:val="001356F8"/>
    <w:rsid w:val="0014103C"/>
    <w:rsid w:val="00150B18"/>
    <w:rsid w:val="00164E9B"/>
    <w:rsid w:val="0016547F"/>
    <w:rsid w:val="00166A45"/>
    <w:rsid w:val="00166D29"/>
    <w:rsid w:val="00167D50"/>
    <w:rsid w:val="00174704"/>
    <w:rsid w:val="00175046"/>
    <w:rsid w:val="0018038E"/>
    <w:rsid w:val="00182D94"/>
    <w:rsid w:val="0018525A"/>
    <w:rsid w:val="00191B42"/>
    <w:rsid w:val="00193D50"/>
    <w:rsid w:val="00194022"/>
    <w:rsid w:val="001A1ED1"/>
    <w:rsid w:val="001A48A1"/>
    <w:rsid w:val="001B2665"/>
    <w:rsid w:val="001C011E"/>
    <w:rsid w:val="001C36CB"/>
    <w:rsid w:val="001D14C7"/>
    <w:rsid w:val="001E067F"/>
    <w:rsid w:val="001E357B"/>
    <w:rsid w:val="001E493C"/>
    <w:rsid w:val="0020103E"/>
    <w:rsid w:val="0020163B"/>
    <w:rsid w:val="00203610"/>
    <w:rsid w:val="002057FC"/>
    <w:rsid w:val="0020600C"/>
    <w:rsid w:val="002116C3"/>
    <w:rsid w:val="00224394"/>
    <w:rsid w:val="0023212C"/>
    <w:rsid w:val="00236731"/>
    <w:rsid w:val="0024223D"/>
    <w:rsid w:val="0025024D"/>
    <w:rsid w:val="00250341"/>
    <w:rsid w:val="00255328"/>
    <w:rsid w:val="00255655"/>
    <w:rsid w:val="0025612D"/>
    <w:rsid w:val="002601F3"/>
    <w:rsid w:val="00261B02"/>
    <w:rsid w:val="00262F15"/>
    <w:rsid w:val="00264640"/>
    <w:rsid w:val="00265579"/>
    <w:rsid w:val="002824DB"/>
    <w:rsid w:val="002862CD"/>
    <w:rsid w:val="0029259A"/>
    <w:rsid w:val="00293620"/>
    <w:rsid w:val="002943CD"/>
    <w:rsid w:val="002949F7"/>
    <w:rsid w:val="002A0730"/>
    <w:rsid w:val="002A507F"/>
    <w:rsid w:val="002A6BEB"/>
    <w:rsid w:val="002A6C26"/>
    <w:rsid w:val="002A755B"/>
    <w:rsid w:val="002B265C"/>
    <w:rsid w:val="002B7C75"/>
    <w:rsid w:val="002C28C3"/>
    <w:rsid w:val="002C2CB5"/>
    <w:rsid w:val="002C75AD"/>
    <w:rsid w:val="002D138D"/>
    <w:rsid w:val="002D15DB"/>
    <w:rsid w:val="002E1F5D"/>
    <w:rsid w:val="002F0402"/>
    <w:rsid w:val="002F17F6"/>
    <w:rsid w:val="002F23F8"/>
    <w:rsid w:val="00301A10"/>
    <w:rsid w:val="00306EB5"/>
    <w:rsid w:val="003101E8"/>
    <w:rsid w:val="003156C0"/>
    <w:rsid w:val="00317640"/>
    <w:rsid w:val="00317C69"/>
    <w:rsid w:val="0032029A"/>
    <w:rsid w:val="00320C9D"/>
    <w:rsid w:val="00324004"/>
    <w:rsid w:val="00325E68"/>
    <w:rsid w:val="003262B3"/>
    <w:rsid w:val="00330633"/>
    <w:rsid w:val="0033538D"/>
    <w:rsid w:val="0033748C"/>
    <w:rsid w:val="003460BF"/>
    <w:rsid w:val="003517EB"/>
    <w:rsid w:val="00355824"/>
    <w:rsid w:val="00366C98"/>
    <w:rsid w:val="00371535"/>
    <w:rsid w:val="00372030"/>
    <w:rsid w:val="00373F34"/>
    <w:rsid w:val="00374D58"/>
    <w:rsid w:val="0037557E"/>
    <w:rsid w:val="0037740F"/>
    <w:rsid w:val="00380667"/>
    <w:rsid w:val="0038313E"/>
    <w:rsid w:val="003834C7"/>
    <w:rsid w:val="00384343"/>
    <w:rsid w:val="00385609"/>
    <w:rsid w:val="00390A52"/>
    <w:rsid w:val="003917C6"/>
    <w:rsid w:val="00396F3B"/>
    <w:rsid w:val="003C1D92"/>
    <w:rsid w:val="003C5B84"/>
    <w:rsid w:val="003D1F4A"/>
    <w:rsid w:val="003D214F"/>
    <w:rsid w:val="003D502A"/>
    <w:rsid w:val="003D650B"/>
    <w:rsid w:val="003D731E"/>
    <w:rsid w:val="003E1FB9"/>
    <w:rsid w:val="003E25B0"/>
    <w:rsid w:val="003E4ACC"/>
    <w:rsid w:val="003E6CC6"/>
    <w:rsid w:val="003F308F"/>
    <w:rsid w:val="003F5177"/>
    <w:rsid w:val="003F6C33"/>
    <w:rsid w:val="003F79CC"/>
    <w:rsid w:val="00400E04"/>
    <w:rsid w:val="004013DE"/>
    <w:rsid w:val="00406762"/>
    <w:rsid w:val="00411E69"/>
    <w:rsid w:val="00412854"/>
    <w:rsid w:val="004178D9"/>
    <w:rsid w:val="00431BA1"/>
    <w:rsid w:val="004323CF"/>
    <w:rsid w:val="00433BB9"/>
    <w:rsid w:val="00433EEA"/>
    <w:rsid w:val="004351C4"/>
    <w:rsid w:val="0045229C"/>
    <w:rsid w:val="00466C09"/>
    <w:rsid w:val="00470603"/>
    <w:rsid w:val="004716B9"/>
    <w:rsid w:val="00474D52"/>
    <w:rsid w:val="00475220"/>
    <w:rsid w:val="00475C5C"/>
    <w:rsid w:val="00480C7B"/>
    <w:rsid w:val="00490B75"/>
    <w:rsid w:val="004966B3"/>
    <w:rsid w:val="004968E7"/>
    <w:rsid w:val="00497D9D"/>
    <w:rsid w:val="004A2FDD"/>
    <w:rsid w:val="004A329F"/>
    <w:rsid w:val="004A5389"/>
    <w:rsid w:val="004B28AE"/>
    <w:rsid w:val="004B383A"/>
    <w:rsid w:val="004B5CED"/>
    <w:rsid w:val="004C0745"/>
    <w:rsid w:val="004C1E66"/>
    <w:rsid w:val="004C606D"/>
    <w:rsid w:val="004C63BA"/>
    <w:rsid w:val="004C66CE"/>
    <w:rsid w:val="004D77AC"/>
    <w:rsid w:val="004F248A"/>
    <w:rsid w:val="004F2926"/>
    <w:rsid w:val="004F59A1"/>
    <w:rsid w:val="004F7A2E"/>
    <w:rsid w:val="005014DF"/>
    <w:rsid w:val="00533DEF"/>
    <w:rsid w:val="00536A65"/>
    <w:rsid w:val="00541D34"/>
    <w:rsid w:val="005458C2"/>
    <w:rsid w:val="00573476"/>
    <w:rsid w:val="00580B03"/>
    <w:rsid w:val="005967BE"/>
    <w:rsid w:val="0059753D"/>
    <w:rsid w:val="005A1DAF"/>
    <w:rsid w:val="005B1995"/>
    <w:rsid w:val="005B3188"/>
    <w:rsid w:val="005B5000"/>
    <w:rsid w:val="005C188B"/>
    <w:rsid w:val="005C1A17"/>
    <w:rsid w:val="005C5C0B"/>
    <w:rsid w:val="005D1163"/>
    <w:rsid w:val="005D2FCE"/>
    <w:rsid w:val="005D330C"/>
    <w:rsid w:val="005D7870"/>
    <w:rsid w:val="005E7DD6"/>
    <w:rsid w:val="005F0738"/>
    <w:rsid w:val="005F3AF6"/>
    <w:rsid w:val="005F4FD2"/>
    <w:rsid w:val="005F6693"/>
    <w:rsid w:val="005F6CD8"/>
    <w:rsid w:val="00602AA4"/>
    <w:rsid w:val="00605EC1"/>
    <w:rsid w:val="00613E81"/>
    <w:rsid w:val="0063420C"/>
    <w:rsid w:val="00636DEC"/>
    <w:rsid w:val="006443C6"/>
    <w:rsid w:val="0064547F"/>
    <w:rsid w:val="00646770"/>
    <w:rsid w:val="006515D9"/>
    <w:rsid w:val="00653E88"/>
    <w:rsid w:val="00670BC7"/>
    <w:rsid w:val="006725C5"/>
    <w:rsid w:val="00675684"/>
    <w:rsid w:val="00692F27"/>
    <w:rsid w:val="00693EF5"/>
    <w:rsid w:val="00693F78"/>
    <w:rsid w:val="006A6B61"/>
    <w:rsid w:val="006B0246"/>
    <w:rsid w:val="006B6B23"/>
    <w:rsid w:val="006B7CBD"/>
    <w:rsid w:val="006C722F"/>
    <w:rsid w:val="006D2949"/>
    <w:rsid w:val="006D3FAF"/>
    <w:rsid w:val="006D4425"/>
    <w:rsid w:val="006D533E"/>
    <w:rsid w:val="006D638C"/>
    <w:rsid w:val="006D7C04"/>
    <w:rsid w:val="006E642F"/>
    <w:rsid w:val="006E6482"/>
    <w:rsid w:val="006F6B78"/>
    <w:rsid w:val="00702267"/>
    <w:rsid w:val="00704FDB"/>
    <w:rsid w:val="0071373C"/>
    <w:rsid w:val="007236CE"/>
    <w:rsid w:val="0074256C"/>
    <w:rsid w:val="00744BDF"/>
    <w:rsid w:val="00746678"/>
    <w:rsid w:val="00752678"/>
    <w:rsid w:val="00763E5B"/>
    <w:rsid w:val="00764884"/>
    <w:rsid w:val="00770566"/>
    <w:rsid w:val="00770C20"/>
    <w:rsid w:val="00772207"/>
    <w:rsid w:val="007830CB"/>
    <w:rsid w:val="00784B18"/>
    <w:rsid w:val="007943A7"/>
    <w:rsid w:val="007A2821"/>
    <w:rsid w:val="007A29D5"/>
    <w:rsid w:val="007A470D"/>
    <w:rsid w:val="007A55BB"/>
    <w:rsid w:val="007C3808"/>
    <w:rsid w:val="007C3B1E"/>
    <w:rsid w:val="007C4E73"/>
    <w:rsid w:val="007C626F"/>
    <w:rsid w:val="007D0E10"/>
    <w:rsid w:val="007D41B0"/>
    <w:rsid w:val="007D569E"/>
    <w:rsid w:val="007D5C3F"/>
    <w:rsid w:val="007E3C21"/>
    <w:rsid w:val="007F05B6"/>
    <w:rsid w:val="007F1EE7"/>
    <w:rsid w:val="007F5CAA"/>
    <w:rsid w:val="007F6117"/>
    <w:rsid w:val="007F643C"/>
    <w:rsid w:val="00806BA8"/>
    <w:rsid w:val="00813365"/>
    <w:rsid w:val="00822C44"/>
    <w:rsid w:val="00823AE4"/>
    <w:rsid w:val="00834A72"/>
    <w:rsid w:val="00835B59"/>
    <w:rsid w:val="00846532"/>
    <w:rsid w:val="008621CC"/>
    <w:rsid w:val="00863D0F"/>
    <w:rsid w:val="008677F5"/>
    <w:rsid w:val="00873CE1"/>
    <w:rsid w:val="00877B78"/>
    <w:rsid w:val="008946D1"/>
    <w:rsid w:val="008A510F"/>
    <w:rsid w:val="008B2046"/>
    <w:rsid w:val="008B4489"/>
    <w:rsid w:val="008C3D97"/>
    <w:rsid w:val="008C6398"/>
    <w:rsid w:val="008D02B7"/>
    <w:rsid w:val="008D7B5D"/>
    <w:rsid w:val="008E4DB1"/>
    <w:rsid w:val="008E7361"/>
    <w:rsid w:val="008E73DD"/>
    <w:rsid w:val="008F089C"/>
    <w:rsid w:val="00905B5B"/>
    <w:rsid w:val="00920354"/>
    <w:rsid w:val="0093008A"/>
    <w:rsid w:val="009317FA"/>
    <w:rsid w:val="00934FEF"/>
    <w:rsid w:val="00935A46"/>
    <w:rsid w:val="00943456"/>
    <w:rsid w:val="00946A6C"/>
    <w:rsid w:val="00946F77"/>
    <w:rsid w:val="00954A35"/>
    <w:rsid w:val="00954EB6"/>
    <w:rsid w:val="009575CB"/>
    <w:rsid w:val="0096739D"/>
    <w:rsid w:val="00982CF2"/>
    <w:rsid w:val="0098767B"/>
    <w:rsid w:val="00990ADE"/>
    <w:rsid w:val="00996DB7"/>
    <w:rsid w:val="009A05F5"/>
    <w:rsid w:val="009A1846"/>
    <w:rsid w:val="009A272E"/>
    <w:rsid w:val="009B0441"/>
    <w:rsid w:val="009B21B5"/>
    <w:rsid w:val="009B5516"/>
    <w:rsid w:val="009C2CDF"/>
    <w:rsid w:val="009C6826"/>
    <w:rsid w:val="009C6865"/>
    <w:rsid w:val="009D66BB"/>
    <w:rsid w:val="009E41C8"/>
    <w:rsid w:val="009E574A"/>
    <w:rsid w:val="009E7716"/>
    <w:rsid w:val="009F1AE2"/>
    <w:rsid w:val="009F1B1F"/>
    <w:rsid w:val="009F42A1"/>
    <w:rsid w:val="009F6DC8"/>
    <w:rsid w:val="00A02A87"/>
    <w:rsid w:val="00A07DF8"/>
    <w:rsid w:val="00A10B01"/>
    <w:rsid w:val="00A13894"/>
    <w:rsid w:val="00A21C49"/>
    <w:rsid w:val="00A227CD"/>
    <w:rsid w:val="00A2362D"/>
    <w:rsid w:val="00A4014E"/>
    <w:rsid w:val="00A40A31"/>
    <w:rsid w:val="00A4541E"/>
    <w:rsid w:val="00A47ED2"/>
    <w:rsid w:val="00A52B2A"/>
    <w:rsid w:val="00A530A7"/>
    <w:rsid w:val="00A63C17"/>
    <w:rsid w:val="00A71CB1"/>
    <w:rsid w:val="00A725EE"/>
    <w:rsid w:val="00A76472"/>
    <w:rsid w:val="00A84FC7"/>
    <w:rsid w:val="00A91597"/>
    <w:rsid w:val="00A9218F"/>
    <w:rsid w:val="00A928C5"/>
    <w:rsid w:val="00AA0309"/>
    <w:rsid w:val="00AA300D"/>
    <w:rsid w:val="00AA7C5B"/>
    <w:rsid w:val="00AB2566"/>
    <w:rsid w:val="00AB34EA"/>
    <w:rsid w:val="00AC57ED"/>
    <w:rsid w:val="00AC5996"/>
    <w:rsid w:val="00AC5D8F"/>
    <w:rsid w:val="00AD79CC"/>
    <w:rsid w:val="00AE4387"/>
    <w:rsid w:val="00AF13A2"/>
    <w:rsid w:val="00AF1E3A"/>
    <w:rsid w:val="00AF2055"/>
    <w:rsid w:val="00B01F3B"/>
    <w:rsid w:val="00B03030"/>
    <w:rsid w:val="00B0448D"/>
    <w:rsid w:val="00B0510E"/>
    <w:rsid w:val="00B05BAF"/>
    <w:rsid w:val="00B0747B"/>
    <w:rsid w:val="00B179B9"/>
    <w:rsid w:val="00B201A1"/>
    <w:rsid w:val="00B2062E"/>
    <w:rsid w:val="00B218CD"/>
    <w:rsid w:val="00B221B2"/>
    <w:rsid w:val="00B24D2F"/>
    <w:rsid w:val="00B26A91"/>
    <w:rsid w:val="00B332E6"/>
    <w:rsid w:val="00B33413"/>
    <w:rsid w:val="00B40D56"/>
    <w:rsid w:val="00B42A37"/>
    <w:rsid w:val="00B45A24"/>
    <w:rsid w:val="00B54891"/>
    <w:rsid w:val="00B55661"/>
    <w:rsid w:val="00B624AF"/>
    <w:rsid w:val="00B632BB"/>
    <w:rsid w:val="00B6378B"/>
    <w:rsid w:val="00B669A9"/>
    <w:rsid w:val="00B71016"/>
    <w:rsid w:val="00B7164E"/>
    <w:rsid w:val="00B7641B"/>
    <w:rsid w:val="00B80037"/>
    <w:rsid w:val="00B850CE"/>
    <w:rsid w:val="00B86954"/>
    <w:rsid w:val="00B936AC"/>
    <w:rsid w:val="00B937D5"/>
    <w:rsid w:val="00B97D63"/>
    <w:rsid w:val="00BA1E9A"/>
    <w:rsid w:val="00BA55BC"/>
    <w:rsid w:val="00BA6C2C"/>
    <w:rsid w:val="00BB49D5"/>
    <w:rsid w:val="00BB689E"/>
    <w:rsid w:val="00BC2728"/>
    <w:rsid w:val="00BC278A"/>
    <w:rsid w:val="00BC5C13"/>
    <w:rsid w:val="00BD43C8"/>
    <w:rsid w:val="00BE7612"/>
    <w:rsid w:val="00C01B57"/>
    <w:rsid w:val="00C13671"/>
    <w:rsid w:val="00C26B89"/>
    <w:rsid w:val="00C32486"/>
    <w:rsid w:val="00C34263"/>
    <w:rsid w:val="00C41B04"/>
    <w:rsid w:val="00C44CD3"/>
    <w:rsid w:val="00C53B91"/>
    <w:rsid w:val="00C54470"/>
    <w:rsid w:val="00C60433"/>
    <w:rsid w:val="00C60DFF"/>
    <w:rsid w:val="00C677C9"/>
    <w:rsid w:val="00C67816"/>
    <w:rsid w:val="00C7124F"/>
    <w:rsid w:val="00C74A1B"/>
    <w:rsid w:val="00C74C50"/>
    <w:rsid w:val="00C80751"/>
    <w:rsid w:val="00C82012"/>
    <w:rsid w:val="00C8283F"/>
    <w:rsid w:val="00C844B1"/>
    <w:rsid w:val="00C94937"/>
    <w:rsid w:val="00C96878"/>
    <w:rsid w:val="00CA0EA8"/>
    <w:rsid w:val="00CA18D8"/>
    <w:rsid w:val="00CB2A07"/>
    <w:rsid w:val="00CB447D"/>
    <w:rsid w:val="00CC1431"/>
    <w:rsid w:val="00CC2766"/>
    <w:rsid w:val="00CC27E8"/>
    <w:rsid w:val="00CC43E3"/>
    <w:rsid w:val="00CC59E8"/>
    <w:rsid w:val="00CC7884"/>
    <w:rsid w:val="00CD0066"/>
    <w:rsid w:val="00CD6AA8"/>
    <w:rsid w:val="00CE4276"/>
    <w:rsid w:val="00CE53FC"/>
    <w:rsid w:val="00CE6E5C"/>
    <w:rsid w:val="00CE6ECC"/>
    <w:rsid w:val="00CF2CF6"/>
    <w:rsid w:val="00CF7097"/>
    <w:rsid w:val="00D00570"/>
    <w:rsid w:val="00D10809"/>
    <w:rsid w:val="00D11461"/>
    <w:rsid w:val="00D12B4B"/>
    <w:rsid w:val="00D202CA"/>
    <w:rsid w:val="00D2162A"/>
    <w:rsid w:val="00D2259B"/>
    <w:rsid w:val="00D24ECD"/>
    <w:rsid w:val="00D27FBB"/>
    <w:rsid w:val="00D33170"/>
    <w:rsid w:val="00D36459"/>
    <w:rsid w:val="00D36F13"/>
    <w:rsid w:val="00D460E7"/>
    <w:rsid w:val="00D54B92"/>
    <w:rsid w:val="00D5539D"/>
    <w:rsid w:val="00D569ED"/>
    <w:rsid w:val="00D60190"/>
    <w:rsid w:val="00D610DE"/>
    <w:rsid w:val="00D64EDC"/>
    <w:rsid w:val="00D655C1"/>
    <w:rsid w:val="00D66D4F"/>
    <w:rsid w:val="00D70F26"/>
    <w:rsid w:val="00D74DA8"/>
    <w:rsid w:val="00D75397"/>
    <w:rsid w:val="00D7788E"/>
    <w:rsid w:val="00D810B9"/>
    <w:rsid w:val="00D93DC6"/>
    <w:rsid w:val="00D944E1"/>
    <w:rsid w:val="00D96D45"/>
    <w:rsid w:val="00DA273C"/>
    <w:rsid w:val="00DA5AEE"/>
    <w:rsid w:val="00DA5D0B"/>
    <w:rsid w:val="00DA6BBD"/>
    <w:rsid w:val="00DB2865"/>
    <w:rsid w:val="00DB49C3"/>
    <w:rsid w:val="00DB5F34"/>
    <w:rsid w:val="00DB60AB"/>
    <w:rsid w:val="00DD3B4B"/>
    <w:rsid w:val="00DD48DE"/>
    <w:rsid w:val="00DE06AD"/>
    <w:rsid w:val="00DF2023"/>
    <w:rsid w:val="00DF2E71"/>
    <w:rsid w:val="00DF4B06"/>
    <w:rsid w:val="00E0076C"/>
    <w:rsid w:val="00E14296"/>
    <w:rsid w:val="00E16A62"/>
    <w:rsid w:val="00E16E66"/>
    <w:rsid w:val="00E21DE5"/>
    <w:rsid w:val="00E23754"/>
    <w:rsid w:val="00E42062"/>
    <w:rsid w:val="00E42843"/>
    <w:rsid w:val="00E44D87"/>
    <w:rsid w:val="00E4532A"/>
    <w:rsid w:val="00E55BFC"/>
    <w:rsid w:val="00E5665C"/>
    <w:rsid w:val="00E6338F"/>
    <w:rsid w:val="00E6388E"/>
    <w:rsid w:val="00E647E5"/>
    <w:rsid w:val="00E729A9"/>
    <w:rsid w:val="00E76120"/>
    <w:rsid w:val="00E81FF6"/>
    <w:rsid w:val="00E91172"/>
    <w:rsid w:val="00E92032"/>
    <w:rsid w:val="00E93995"/>
    <w:rsid w:val="00E94EFE"/>
    <w:rsid w:val="00EA2232"/>
    <w:rsid w:val="00EA5793"/>
    <w:rsid w:val="00EA7786"/>
    <w:rsid w:val="00EB5CAC"/>
    <w:rsid w:val="00EB6F26"/>
    <w:rsid w:val="00EB72E7"/>
    <w:rsid w:val="00ED5B37"/>
    <w:rsid w:val="00EE2A94"/>
    <w:rsid w:val="00EE7134"/>
    <w:rsid w:val="00EF0D09"/>
    <w:rsid w:val="00EF2A5B"/>
    <w:rsid w:val="00EF6276"/>
    <w:rsid w:val="00EF6DE5"/>
    <w:rsid w:val="00EF7222"/>
    <w:rsid w:val="00F05585"/>
    <w:rsid w:val="00F14408"/>
    <w:rsid w:val="00F168D5"/>
    <w:rsid w:val="00F21664"/>
    <w:rsid w:val="00F24CF9"/>
    <w:rsid w:val="00F41498"/>
    <w:rsid w:val="00F506E5"/>
    <w:rsid w:val="00F52071"/>
    <w:rsid w:val="00F566BA"/>
    <w:rsid w:val="00F57DCE"/>
    <w:rsid w:val="00F6343B"/>
    <w:rsid w:val="00F66CC4"/>
    <w:rsid w:val="00F7590D"/>
    <w:rsid w:val="00F90D1F"/>
    <w:rsid w:val="00F96F0E"/>
    <w:rsid w:val="00FA0665"/>
    <w:rsid w:val="00FA2ED3"/>
    <w:rsid w:val="00FA4BE0"/>
    <w:rsid w:val="00FA6603"/>
    <w:rsid w:val="00FA7541"/>
    <w:rsid w:val="00FB18A5"/>
    <w:rsid w:val="00FB2A68"/>
    <w:rsid w:val="00FB7AE2"/>
    <w:rsid w:val="00FC34E4"/>
    <w:rsid w:val="00FC3A1E"/>
    <w:rsid w:val="00FC3EDA"/>
    <w:rsid w:val="00FC7E0B"/>
    <w:rsid w:val="00FE2900"/>
    <w:rsid w:val="00FE32BA"/>
    <w:rsid w:val="00FE4CB7"/>
    <w:rsid w:val="00FF43CA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00C0"/>
  <w15:docId w15:val="{B21B806B-F804-4BB3-B1E3-DC395BA8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1F5D"/>
    <w:pPr>
      <w:widowControl w:val="0"/>
      <w:spacing w:line="280" w:lineRule="atLeast"/>
    </w:pPr>
    <w:rPr>
      <w:rFonts w:ascii="Calibri" w:hAnsi="Calibri"/>
      <w:snapToGrid w:val="0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75EEB"/>
    <w:pPr>
      <w:keepNext/>
      <w:numPr>
        <w:numId w:val="3"/>
      </w:numPr>
      <w:spacing w:after="280"/>
      <w:ind w:left="709" w:hanging="709"/>
      <w:outlineLvl w:val="0"/>
    </w:pPr>
    <w:rPr>
      <w:b/>
      <w:bCs/>
      <w:noProof/>
      <w:color w:val="000000" w:themeColor="text1"/>
      <w:sz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175EEB"/>
    <w:pPr>
      <w:keepNext/>
      <w:keepLines/>
      <w:numPr>
        <w:ilvl w:val="1"/>
        <w:numId w:val="3"/>
      </w:numPr>
      <w:ind w:hanging="7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75EEB"/>
    <w:pPr>
      <w:keepNext/>
      <w:keepLines/>
      <w:numPr>
        <w:ilvl w:val="2"/>
        <w:numId w:val="3"/>
      </w:numPr>
      <w:ind w:left="709" w:hanging="709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75EEB"/>
    <w:rPr>
      <w:rFonts w:ascii="Calibri" w:hAnsi="Calibri"/>
      <w:b/>
      <w:bCs/>
      <w:noProof/>
      <w:snapToGrid w:val="0"/>
      <w:color w:val="000000" w:themeColor="text1"/>
      <w:sz w:val="40"/>
      <w:lang w:val="nl-NL" w:eastAsia="nl-NL"/>
    </w:rPr>
  </w:style>
  <w:style w:type="paragraph" w:styleId="Lijstalinea">
    <w:name w:val="List Paragraph"/>
    <w:aliases w:val="_EDSN_agendapunt"/>
    <w:basedOn w:val="Standaard"/>
    <w:link w:val="LijstalineaChar"/>
    <w:uiPriority w:val="34"/>
    <w:qFormat/>
    <w:rsid w:val="002D7A9B"/>
    <w:pPr>
      <w:ind w:left="708"/>
    </w:pPr>
  </w:style>
  <w:style w:type="paragraph" w:styleId="Koptekst">
    <w:name w:val="header"/>
    <w:basedOn w:val="Standaard"/>
    <w:link w:val="KoptekstChar"/>
    <w:uiPriority w:val="99"/>
    <w:unhideWhenUsed/>
    <w:rsid w:val="000C1E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1E6C"/>
    <w:rPr>
      <w:rFonts w:ascii="Calibri" w:hAnsi="Calibri"/>
      <w:snapToGrid w:val="0"/>
      <w:sz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8104AF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8104AF"/>
    <w:rPr>
      <w:rFonts w:ascii="Calibri" w:hAnsi="Calibri"/>
      <w:snapToGrid w:val="0"/>
      <w:sz w:val="13"/>
      <w:lang w:val="nl-NL" w:eastAsia="nl-NL"/>
    </w:rPr>
  </w:style>
  <w:style w:type="paragraph" w:customStyle="1" w:styleId="Rubricering">
    <w:name w:val="Rubricering"/>
    <w:basedOn w:val="Standaard"/>
    <w:qFormat/>
    <w:rsid w:val="000C1E6C"/>
    <w:pPr>
      <w:spacing w:line="250" w:lineRule="atLeast"/>
    </w:pPr>
    <w:rPr>
      <w:rFonts w:ascii="Arial" w:hAnsi="Arial"/>
      <w:b/>
      <w:sz w:val="18"/>
    </w:rPr>
  </w:style>
  <w:style w:type="table" w:styleId="Tabelraster">
    <w:name w:val="Table Grid"/>
    <w:basedOn w:val="Standaardtabel"/>
    <w:uiPriority w:val="59"/>
    <w:rsid w:val="000C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kop">
    <w:name w:val="Colofonkop"/>
    <w:basedOn w:val="Standaard"/>
    <w:qFormat/>
    <w:rsid w:val="007A50D8"/>
    <w:rPr>
      <w:b/>
    </w:rPr>
  </w:style>
  <w:style w:type="paragraph" w:customStyle="1" w:styleId="Colofoninvulling">
    <w:name w:val="Colofon invulling"/>
    <w:basedOn w:val="Standaard"/>
    <w:qFormat/>
    <w:rsid w:val="007A50D8"/>
  </w:style>
  <w:style w:type="paragraph" w:customStyle="1" w:styleId="Adres">
    <w:name w:val="Adres"/>
    <w:basedOn w:val="Standaard"/>
    <w:qFormat/>
    <w:rsid w:val="000C1E6C"/>
    <w:rPr>
      <w:b/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2D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2D8A"/>
    <w:rPr>
      <w:rFonts w:ascii="Tahoma" w:hAnsi="Tahoma" w:cs="Tahoma"/>
      <w:snapToGrid w:val="0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104AF"/>
    <w:rPr>
      <w:color w:val="0000FF" w:themeColor="hyperlink"/>
      <w:u w:val="single"/>
      <w:lang w:val="nl-NL"/>
    </w:rPr>
  </w:style>
  <w:style w:type="paragraph" w:styleId="Titel">
    <w:name w:val="Title"/>
    <w:basedOn w:val="Standaard"/>
    <w:next w:val="Standaard"/>
    <w:link w:val="TitelChar"/>
    <w:qFormat/>
    <w:rsid w:val="00177A61"/>
    <w:pPr>
      <w:spacing w:after="300" w:line="240" w:lineRule="auto"/>
      <w:contextualSpacing/>
    </w:pPr>
    <w:rPr>
      <w:rFonts w:asciiTheme="minorHAnsi" w:eastAsiaTheme="majorEastAsia" w:hAnsiTheme="minorHAnsi" w:cstheme="majorBidi"/>
      <w:b/>
      <w:color w:val="000000" w:themeColor="text1"/>
      <w:spacing w:val="5"/>
      <w:kern w:val="28"/>
      <w:sz w:val="90"/>
      <w:szCs w:val="52"/>
    </w:rPr>
  </w:style>
  <w:style w:type="character" w:customStyle="1" w:styleId="TitelChar">
    <w:name w:val="Titel Char"/>
    <w:basedOn w:val="Standaardalinea-lettertype"/>
    <w:link w:val="Titel"/>
    <w:rsid w:val="00177A61"/>
    <w:rPr>
      <w:rFonts w:asciiTheme="minorHAnsi" w:eastAsiaTheme="majorEastAsia" w:hAnsiTheme="minorHAnsi" w:cstheme="majorBidi"/>
      <w:b/>
      <w:snapToGrid w:val="0"/>
      <w:color w:val="000000" w:themeColor="text1"/>
      <w:spacing w:val="5"/>
      <w:kern w:val="28"/>
      <w:sz w:val="90"/>
      <w:szCs w:val="52"/>
      <w:lang w:val="nl-NL" w:eastAsia="nl-NL"/>
    </w:rPr>
  </w:style>
  <w:style w:type="paragraph" w:customStyle="1" w:styleId="Subtitel">
    <w:name w:val="Subtitel"/>
    <w:basedOn w:val="Adres"/>
    <w:qFormat/>
    <w:rsid w:val="00051FF0"/>
    <w:rPr>
      <w:sz w:val="40"/>
    </w:rPr>
  </w:style>
  <w:style w:type="paragraph" w:customStyle="1" w:styleId="Documenttitel">
    <w:name w:val="Documenttitel"/>
    <w:basedOn w:val="Colofonkop"/>
    <w:qFormat/>
    <w:rsid w:val="007A50D8"/>
    <w:rPr>
      <w:sz w:val="30"/>
    </w:rPr>
  </w:style>
  <w:style w:type="paragraph" w:customStyle="1" w:styleId="Inhoudsopgave">
    <w:name w:val="Inhoudsopgave"/>
    <w:basedOn w:val="Standaard"/>
    <w:next w:val="Standaard"/>
    <w:qFormat/>
    <w:rsid w:val="007D6CDA"/>
    <w:rPr>
      <w:b/>
      <w:noProof/>
      <w:sz w:val="40"/>
    </w:rPr>
  </w:style>
  <w:style w:type="character" w:customStyle="1" w:styleId="Kop2Char">
    <w:name w:val="Kop 2 Char"/>
    <w:basedOn w:val="Standaardalinea-lettertype"/>
    <w:link w:val="Kop2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lang w:val="nl-NL" w:eastAsia="nl-NL"/>
    </w:rPr>
  </w:style>
  <w:style w:type="paragraph" w:customStyle="1" w:styleId="Tabelkop">
    <w:name w:val="Tabelkop"/>
    <w:basedOn w:val="Standaard"/>
    <w:qFormat/>
    <w:rsid w:val="002076C6"/>
    <w:rPr>
      <w:b/>
      <w:sz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spacing w:before="240"/>
      <w:ind w:left="1134" w:hanging="1134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customStyle="1" w:styleId="Tabeltekst">
    <w:name w:val="Tabeltekst"/>
    <w:basedOn w:val="Standaard"/>
    <w:qFormat/>
    <w:rsid w:val="002076C6"/>
    <w:rPr>
      <w:sz w:val="16"/>
    </w:rPr>
  </w:style>
  <w:style w:type="paragraph" w:customStyle="1" w:styleId="wwostylekop1">
    <w:name w:val="wwo_style_kop1"/>
    <w:basedOn w:val="Kop1"/>
    <w:next w:val="Standaard"/>
    <w:qFormat/>
    <w:rsid w:val="00175EEB"/>
  </w:style>
  <w:style w:type="paragraph" w:customStyle="1" w:styleId="wwostylekop2">
    <w:name w:val="wwo_style_kop2"/>
    <w:basedOn w:val="Kop2"/>
    <w:next w:val="Standaard"/>
    <w:qFormat/>
    <w:rsid w:val="00175EEB"/>
  </w:style>
  <w:style w:type="paragraph" w:customStyle="1" w:styleId="wwostylekop3">
    <w:name w:val="wwo_style_kop3"/>
    <w:basedOn w:val="Kop3"/>
    <w:next w:val="Standaard"/>
    <w:qFormat/>
    <w:rsid w:val="00175EEB"/>
  </w:style>
  <w:style w:type="paragraph" w:customStyle="1" w:styleId="wwostyletabelkop">
    <w:name w:val="wwo_style_tabelkop"/>
    <w:basedOn w:val="Tabelkop"/>
    <w:qFormat/>
    <w:rsid w:val="00175EEB"/>
  </w:style>
  <w:style w:type="paragraph" w:customStyle="1" w:styleId="wwostyletabeltekst">
    <w:name w:val="wwo_style_tabeltekst"/>
    <w:basedOn w:val="Tabeltekst"/>
    <w:qFormat/>
    <w:rsid w:val="00175EEB"/>
  </w:style>
  <w:style w:type="paragraph" w:customStyle="1" w:styleId="EDSNKop">
    <w:name w:val="EDSN Kop"/>
    <w:basedOn w:val="Standaard"/>
    <w:rsid w:val="00693F78"/>
    <w:pPr>
      <w:widowControl/>
      <w:suppressAutoHyphens/>
      <w:spacing w:after="400" w:line="460" w:lineRule="exact"/>
    </w:pPr>
    <w:rPr>
      <w:rFonts w:ascii="Verdana" w:hAnsi="Verdana"/>
      <w:snapToGrid/>
      <w:sz w:val="32"/>
      <w:lang w:eastAsia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5C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5C13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5C13"/>
    <w:rPr>
      <w:rFonts w:ascii="Calibri" w:hAnsi="Calibri"/>
      <w:snapToGrid w:val="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5C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5C13"/>
    <w:rPr>
      <w:rFonts w:ascii="Calibri" w:hAnsi="Calibri"/>
      <w:b/>
      <w:bCs/>
      <w:snapToGrid w:val="0"/>
      <w:lang w:eastAsia="nl-NL"/>
    </w:rPr>
  </w:style>
  <w:style w:type="paragraph" w:customStyle="1" w:styleId="Default">
    <w:name w:val="Default"/>
    <w:rsid w:val="002060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46678"/>
    <w:rPr>
      <w:color w:val="605E5C"/>
      <w:shd w:val="clear" w:color="auto" w:fill="E1DFDD"/>
    </w:rPr>
  </w:style>
  <w:style w:type="paragraph" w:customStyle="1" w:styleId="KopjeRFC">
    <w:name w:val="Kopje RFC"/>
    <w:basedOn w:val="Kop1"/>
    <w:link w:val="KopjeRFCChar"/>
    <w:qFormat/>
    <w:rsid w:val="002A0730"/>
    <w:pPr>
      <w:numPr>
        <w:numId w:val="15"/>
      </w:numPr>
      <w:spacing w:after="0"/>
    </w:pPr>
    <w:rPr>
      <w:sz w:val="22"/>
      <w:szCs w:val="22"/>
    </w:rPr>
  </w:style>
  <w:style w:type="character" w:customStyle="1" w:styleId="KopjeRFCChar">
    <w:name w:val="Kopje RFC Char"/>
    <w:basedOn w:val="Kop1Char"/>
    <w:link w:val="KopjeRFC"/>
    <w:rsid w:val="002A0730"/>
    <w:rPr>
      <w:rFonts w:ascii="Calibri" w:hAnsi="Calibri"/>
      <w:b/>
      <w:bCs/>
      <w:noProof/>
      <w:snapToGrid w:val="0"/>
      <w:color w:val="000000" w:themeColor="text1"/>
      <w:sz w:val="22"/>
      <w:szCs w:val="22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4343"/>
    <w:rPr>
      <w:color w:val="605E5C"/>
      <w:shd w:val="clear" w:color="auto" w:fill="E1DFDD"/>
    </w:rPr>
  </w:style>
  <w:style w:type="character" w:customStyle="1" w:styleId="LijstalineaChar">
    <w:name w:val="Lijstalinea Char"/>
    <w:aliases w:val="_EDSN_agendapunt Char"/>
    <w:basedOn w:val="Standaardalinea-lettertype"/>
    <w:link w:val="Lijstalinea"/>
    <w:uiPriority w:val="34"/>
    <w:rsid w:val="00174704"/>
    <w:rPr>
      <w:rFonts w:ascii="Calibri" w:hAnsi="Calibri"/>
      <w:snapToGrid w:val="0"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co.leensen@tennet.eu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kees.sparreboom@sparconsult.eu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.berkhoff@tennet.eu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ris.hoedt@edsn.nl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91830ED340E4FB1005DCFC6E51CF5" ma:contentTypeVersion="8" ma:contentTypeDescription="Een nieuw document maken." ma:contentTypeScope="" ma:versionID="71eacb6464d9d567aeafb3d8af5ea873">
  <xsd:schema xmlns:xsd="http://www.w3.org/2001/XMLSchema" xmlns:xs="http://www.w3.org/2001/XMLSchema" xmlns:p="http://schemas.microsoft.com/office/2006/metadata/properties" xmlns:ns2="28a68a4d-228e-49b4-bd64-f059bd770b71" targetNamespace="http://schemas.microsoft.com/office/2006/metadata/properties" ma:root="true" ma:fieldsID="6b65879fc593b33e4c8f86cefd148f14" ns2:_="">
    <xsd:import namespace="28a68a4d-228e-49b4-bd64-f059bd770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8a4d-228e-49b4-bd64-f059bd770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144455-6811-41BA-BBFD-1FC290212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4E3C3-2943-4CB3-BE48-EF8F9FD09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98296A-D837-405D-9B10-DC528A0D776C}"/>
</file>

<file path=customXml/itemProps4.xml><?xml version="1.0" encoding="utf-8"?>
<ds:datastoreItem xmlns:ds="http://schemas.openxmlformats.org/officeDocument/2006/customXml" ds:itemID="{C95CC52F-78C1-4AB6-A3BE-1051825B0D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2155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RFC</vt:lpstr>
    </vt:vector>
  </TitlesOfParts>
  <Company>TenneT TSO B.V.</Company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RFC</dc:title>
  <dc:creator>Jan.de.Jong@edsn.nl</dc:creator>
  <cp:lastModifiedBy>Mirjam van der Horst</cp:lastModifiedBy>
  <cp:revision>2</cp:revision>
  <cp:lastPrinted>2014-06-30T14:14:00Z</cp:lastPrinted>
  <dcterms:created xsi:type="dcterms:W3CDTF">2021-07-14T11:34:00Z</dcterms:created>
  <dcterms:modified xsi:type="dcterms:W3CDTF">2021-07-14T11:34:00Z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0x010100E6BB593861114E4FBDCCCA97658EAFA8</vt:lpwstr>
  </property>
  <property fmtid="{D5CDD505-2E9C-101B-9397-08002B2CF9AE}" pid="3" name="Order">
    <vt:r8>3500</vt:r8>
  </property>
</Properties>
</file>