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8076" w:type="dxa"/>
        <w:tblInd w:w="788" w:type="dxa"/>
        <w:tblBorders>
          <w:top w:val="nil"/>
          <w:left w:val="nil"/>
          <w:bottom w:val="nil"/>
          <w:right w:val="nil"/>
          <w:insideH w:val="nil"/>
          <w:insideV w:val="nil"/>
        </w:tblBorders>
        <w:tblLook w:val="04A0" w:firstRow="1" w:lastRow="0" w:firstColumn="1" w:lastColumn="0" w:noHBand="0" w:noVBand="1"/>
      </w:tblPr>
      <w:tblGrid>
        <w:gridCol w:w="1842"/>
        <w:gridCol w:w="6234"/>
      </w:tblGrid>
      <w:tr w:rsidR="00B05372" w:rsidRPr="009F5638" w14:paraId="2419E98F" w14:textId="77777777" w:rsidTr="00F45970">
        <w:tc>
          <w:tcPr>
            <w:tcW w:w="1842" w:type="dxa"/>
          </w:tcPr>
          <w:p w14:paraId="00724CAD" w14:textId="77777777" w:rsidR="00B05372" w:rsidRPr="001509CE" w:rsidRDefault="00B05372">
            <w:pPr>
              <w:rPr>
                <w:rFonts w:asciiTheme="minorHAnsi" w:hAnsiTheme="minorHAnsi"/>
                <w:b/>
              </w:rPr>
            </w:pPr>
            <w:r w:rsidRPr="00D458EE">
              <w:rPr>
                <w:rFonts w:asciiTheme="minorHAnsi" w:hAnsiTheme="minorHAnsi"/>
                <w:b/>
                <w:color w:val="0A00A2" w:themeColor="accent1"/>
              </w:rPr>
              <w:t xml:space="preserve">Aan </w:t>
            </w:r>
          </w:p>
        </w:tc>
        <w:tc>
          <w:tcPr>
            <w:tcW w:w="6234" w:type="dxa"/>
          </w:tcPr>
          <w:p w14:paraId="3BF43ECC" w14:textId="1DED6526" w:rsidR="00B05372" w:rsidRPr="009F5638" w:rsidRDefault="00723C2E">
            <w:pPr>
              <w:rPr>
                <w:rFonts w:asciiTheme="minorHAnsi" w:hAnsiTheme="minorHAnsi"/>
                <w:lang w:val="en-US"/>
              </w:rPr>
            </w:pPr>
            <w:r>
              <w:rPr>
                <w:rFonts w:asciiTheme="minorHAnsi" w:hAnsiTheme="minorHAnsi"/>
                <w:lang w:val="en-US"/>
              </w:rPr>
              <w:t>PFSG</w:t>
            </w:r>
          </w:p>
        </w:tc>
      </w:tr>
      <w:tr w:rsidR="00B05372" w:rsidRPr="001509CE" w14:paraId="15AFFFE9" w14:textId="77777777" w:rsidTr="00F45970">
        <w:tc>
          <w:tcPr>
            <w:tcW w:w="1842" w:type="dxa"/>
          </w:tcPr>
          <w:p w14:paraId="1121E2E7" w14:textId="77777777" w:rsidR="00B05372" w:rsidRPr="00D458EE" w:rsidRDefault="00B05372">
            <w:pPr>
              <w:ind w:right="-974"/>
              <w:rPr>
                <w:rFonts w:asciiTheme="minorHAnsi" w:hAnsiTheme="minorHAnsi"/>
                <w:b/>
                <w:color w:val="0A00A2" w:themeColor="accent1"/>
              </w:rPr>
            </w:pPr>
            <w:r w:rsidRPr="00D458EE">
              <w:rPr>
                <w:rFonts w:asciiTheme="minorHAnsi" w:hAnsiTheme="minorHAnsi"/>
                <w:b/>
                <w:color w:val="0A00A2" w:themeColor="accent1"/>
              </w:rPr>
              <w:t>Ingebracht door</w:t>
            </w:r>
          </w:p>
        </w:tc>
        <w:tc>
          <w:tcPr>
            <w:tcW w:w="6234" w:type="dxa"/>
          </w:tcPr>
          <w:p w14:paraId="5C0A6420" w14:textId="0BAC1A1D" w:rsidR="00B05372" w:rsidRPr="001509CE" w:rsidRDefault="00331BB1">
            <w:pPr>
              <w:rPr>
                <w:rFonts w:asciiTheme="minorHAnsi" w:hAnsiTheme="minorHAnsi"/>
              </w:rPr>
            </w:pPr>
            <w:proofErr w:type="spellStart"/>
            <w:r>
              <w:rPr>
                <w:rFonts w:asciiTheme="minorHAnsi" w:hAnsiTheme="minorHAnsi"/>
                <w:lang w:val="en-US"/>
              </w:rPr>
              <w:t>Klankbordgroep</w:t>
            </w:r>
            <w:proofErr w:type="spellEnd"/>
            <w:r>
              <w:rPr>
                <w:rFonts w:asciiTheme="minorHAnsi" w:hAnsiTheme="minorHAnsi"/>
                <w:lang w:val="en-US"/>
              </w:rPr>
              <w:t xml:space="preserve"> </w:t>
            </w:r>
            <w:proofErr w:type="spellStart"/>
            <w:r>
              <w:rPr>
                <w:rFonts w:asciiTheme="minorHAnsi" w:hAnsiTheme="minorHAnsi"/>
                <w:lang w:val="en-US"/>
              </w:rPr>
              <w:t>Transitie</w:t>
            </w:r>
            <w:proofErr w:type="spellEnd"/>
          </w:p>
        </w:tc>
      </w:tr>
      <w:tr w:rsidR="00B05372" w:rsidRPr="001509CE" w14:paraId="0A3A045E" w14:textId="77777777" w:rsidTr="00F45970">
        <w:tc>
          <w:tcPr>
            <w:tcW w:w="1842" w:type="dxa"/>
          </w:tcPr>
          <w:p w14:paraId="1BF950C8" w14:textId="77777777" w:rsidR="00B05372" w:rsidRPr="001509CE" w:rsidRDefault="00B05372">
            <w:pPr>
              <w:rPr>
                <w:rFonts w:asciiTheme="minorHAnsi" w:hAnsiTheme="minorHAnsi"/>
                <w:b/>
              </w:rPr>
            </w:pPr>
            <w:r w:rsidRPr="00D458EE">
              <w:rPr>
                <w:rFonts w:asciiTheme="minorHAnsi" w:hAnsiTheme="minorHAnsi"/>
                <w:b/>
                <w:color w:val="0A00A2" w:themeColor="accent1"/>
              </w:rPr>
              <w:t>Datum</w:t>
            </w:r>
          </w:p>
        </w:tc>
        <w:tc>
          <w:tcPr>
            <w:tcW w:w="6234" w:type="dxa"/>
          </w:tcPr>
          <w:p w14:paraId="469CD8E8" w14:textId="07006107" w:rsidR="00B05372" w:rsidRPr="001509CE" w:rsidRDefault="00723C2E">
            <w:pPr>
              <w:rPr>
                <w:rFonts w:asciiTheme="minorHAnsi" w:hAnsiTheme="minorHAnsi"/>
              </w:rPr>
            </w:pPr>
            <w:r>
              <w:rPr>
                <w:rFonts w:asciiTheme="minorHAnsi" w:hAnsiTheme="minorHAnsi"/>
              </w:rPr>
              <w:t>19</w:t>
            </w:r>
            <w:r w:rsidR="00BC68FC">
              <w:rPr>
                <w:rFonts w:asciiTheme="minorHAnsi" w:hAnsiTheme="minorHAnsi"/>
              </w:rPr>
              <w:t xml:space="preserve"> april</w:t>
            </w:r>
            <w:r w:rsidR="00331BB1">
              <w:rPr>
                <w:rFonts w:asciiTheme="minorHAnsi" w:hAnsiTheme="minorHAnsi"/>
              </w:rPr>
              <w:t xml:space="preserve"> 2024</w:t>
            </w:r>
          </w:p>
        </w:tc>
      </w:tr>
      <w:tr w:rsidR="00036352" w:rsidRPr="001509CE" w14:paraId="7BFC6C7C" w14:textId="77777777" w:rsidTr="00F45970">
        <w:tc>
          <w:tcPr>
            <w:tcW w:w="1842" w:type="dxa"/>
          </w:tcPr>
          <w:p w14:paraId="0BEF6D36" w14:textId="25374509" w:rsidR="00036352" w:rsidRPr="00036352" w:rsidRDefault="00036352">
            <w:pPr>
              <w:rPr>
                <w:rFonts w:asciiTheme="minorHAnsi" w:hAnsiTheme="minorHAnsi" w:cstheme="minorHAnsi"/>
                <w:b/>
                <w:color w:val="0A00A2" w:themeColor="accent1"/>
              </w:rPr>
            </w:pPr>
            <w:r w:rsidRPr="00036352">
              <w:rPr>
                <w:rFonts w:asciiTheme="minorHAnsi" w:hAnsiTheme="minorHAnsi" w:cstheme="minorHAnsi"/>
                <w:b/>
                <w:color w:val="0A00A2" w:themeColor="accent1"/>
              </w:rPr>
              <w:t>Versie</w:t>
            </w:r>
          </w:p>
        </w:tc>
        <w:tc>
          <w:tcPr>
            <w:tcW w:w="6234" w:type="dxa"/>
          </w:tcPr>
          <w:p w14:paraId="7B3D5BEC" w14:textId="44B52B75" w:rsidR="00036352" w:rsidRPr="00036352" w:rsidRDefault="00036352">
            <w:pPr>
              <w:rPr>
                <w:rFonts w:asciiTheme="minorHAnsi" w:hAnsiTheme="minorHAnsi" w:cstheme="minorHAnsi"/>
              </w:rPr>
            </w:pPr>
            <w:r w:rsidRPr="00036352">
              <w:rPr>
                <w:rFonts w:asciiTheme="minorHAnsi" w:hAnsiTheme="minorHAnsi" w:cstheme="minorHAnsi"/>
              </w:rPr>
              <w:t>1.</w:t>
            </w:r>
            <w:r w:rsidR="00723C2E">
              <w:rPr>
                <w:rFonts w:asciiTheme="minorHAnsi" w:hAnsiTheme="minorHAnsi" w:cstheme="minorHAnsi"/>
              </w:rPr>
              <w:t>9</w:t>
            </w:r>
            <w:r w:rsidRPr="00036352">
              <w:rPr>
                <w:rFonts w:asciiTheme="minorHAnsi" w:hAnsiTheme="minorHAnsi" w:cstheme="minorHAnsi"/>
              </w:rPr>
              <w:t xml:space="preserve"> (concept)</w:t>
            </w:r>
          </w:p>
        </w:tc>
      </w:tr>
      <w:tr w:rsidR="00B05372" w:rsidRPr="00331BB1" w14:paraId="0C7EA227" w14:textId="77777777" w:rsidTr="00F45970">
        <w:tc>
          <w:tcPr>
            <w:tcW w:w="1842" w:type="dxa"/>
          </w:tcPr>
          <w:p w14:paraId="6EC63395" w14:textId="77777777" w:rsidR="00B05372" w:rsidRPr="001509CE" w:rsidRDefault="00B05372">
            <w:pPr>
              <w:rPr>
                <w:rFonts w:asciiTheme="minorHAnsi" w:hAnsiTheme="minorHAnsi"/>
                <w:b/>
              </w:rPr>
            </w:pPr>
            <w:r w:rsidRPr="00D458EE">
              <w:rPr>
                <w:rFonts w:asciiTheme="minorHAnsi" w:hAnsiTheme="minorHAnsi"/>
                <w:b/>
                <w:color w:val="0A00A2" w:themeColor="accent1"/>
              </w:rPr>
              <w:t>Onderwerp</w:t>
            </w:r>
          </w:p>
        </w:tc>
        <w:tc>
          <w:tcPr>
            <w:tcW w:w="6234" w:type="dxa"/>
          </w:tcPr>
          <w:p w14:paraId="44B5C620" w14:textId="6B5C6A49" w:rsidR="00B05372" w:rsidRPr="001509CE" w:rsidRDefault="00331BB1">
            <w:pPr>
              <w:rPr>
                <w:rFonts w:asciiTheme="minorHAnsi" w:hAnsiTheme="minorHAnsi"/>
                <w:lang w:val="de-DE"/>
              </w:rPr>
            </w:pPr>
            <w:proofErr w:type="spellStart"/>
            <w:r>
              <w:rPr>
                <w:rFonts w:asciiTheme="minorHAnsi" w:hAnsiTheme="minorHAnsi"/>
                <w:lang w:val="de-DE"/>
              </w:rPr>
              <w:t>Notitie</w:t>
            </w:r>
            <w:proofErr w:type="spellEnd"/>
            <w:r>
              <w:rPr>
                <w:rFonts w:asciiTheme="minorHAnsi" w:hAnsiTheme="minorHAnsi"/>
                <w:lang w:val="de-DE"/>
              </w:rPr>
              <w:t xml:space="preserve"> A2.0 Tranche 3 </w:t>
            </w:r>
            <w:proofErr w:type="spellStart"/>
            <w:r>
              <w:rPr>
                <w:rFonts w:asciiTheme="minorHAnsi" w:hAnsiTheme="minorHAnsi"/>
                <w:lang w:val="de-DE"/>
              </w:rPr>
              <w:t>Transitietijdlijn</w:t>
            </w:r>
            <w:proofErr w:type="spellEnd"/>
            <w:r>
              <w:rPr>
                <w:rFonts w:asciiTheme="minorHAnsi" w:hAnsiTheme="minorHAnsi"/>
                <w:lang w:val="de-DE"/>
              </w:rPr>
              <w:t xml:space="preserve">- en </w:t>
            </w:r>
            <w:proofErr w:type="spellStart"/>
            <w:r>
              <w:rPr>
                <w:rFonts w:asciiTheme="minorHAnsi" w:hAnsiTheme="minorHAnsi"/>
                <w:lang w:val="de-DE"/>
              </w:rPr>
              <w:t>afspraken</w:t>
            </w:r>
            <w:proofErr w:type="spellEnd"/>
          </w:p>
        </w:tc>
      </w:tr>
    </w:tbl>
    <w:p w14:paraId="711F748D" w14:textId="77777777" w:rsidR="00B05372" w:rsidRPr="00331BB1" w:rsidRDefault="00B05372" w:rsidP="00B05372"/>
    <w:p w14:paraId="5EC742E0" w14:textId="77777777" w:rsidR="000319CE" w:rsidRPr="00331BB1" w:rsidRDefault="00ED453D" w:rsidP="00B05372">
      <w:pPr>
        <w:pStyle w:val="Kop2"/>
        <w:rPr>
          <w:sz w:val="28"/>
          <w:szCs w:val="28"/>
        </w:rPr>
      </w:pPr>
      <w:r w:rsidRPr="00331BB1">
        <w:rPr>
          <w:sz w:val="28"/>
          <w:szCs w:val="28"/>
        </w:rPr>
        <w:t>Inleiding</w:t>
      </w:r>
    </w:p>
    <w:p w14:paraId="556626F9" w14:textId="77777777" w:rsidR="00331BB1" w:rsidRDefault="00331BB1" w:rsidP="00331BB1">
      <w:pPr>
        <w:spacing w:before="120" w:line="288" w:lineRule="auto"/>
        <w:rPr>
          <w:bCs/>
          <w:noProof/>
        </w:rPr>
      </w:pPr>
      <w:r w:rsidRPr="00FA35E4">
        <w:rPr>
          <w:bCs/>
          <w:noProof/>
        </w:rPr>
        <w:t>D</w:t>
      </w:r>
      <w:r>
        <w:rPr>
          <w:bCs/>
          <w:noProof/>
        </w:rPr>
        <w:t>eze notitie heeft als doel om eenduidig de tijdlijn en de samenhang van de verschillende reconciliatie- en verrekenprocessen binnen Allocatie 2.0 Tranche 3 te beschrijven. Om zo duidelijk te maken wanneer welk reconciliatie- of verrekenproces toegepast moet worden en wat de relatie is met het huidige IC011B proces.</w:t>
      </w:r>
    </w:p>
    <w:p w14:paraId="402F87EC" w14:textId="7A7E2EA4" w:rsidR="00331BB1" w:rsidRDefault="00331BB1" w:rsidP="00331BB1">
      <w:pPr>
        <w:spacing w:before="120" w:line="288" w:lineRule="auto"/>
        <w:rPr>
          <w:bCs/>
          <w:noProof/>
        </w:rPr>
      </w:pPr>
      <w:r>
        <w:rPr>
          <w:bCs/>
          <w:noProof/>
        </w:rPr>
        <w:t>Het voorstel is uitgewerkt en goedgekeurd door een werkgroep met de hierbij betrokken marktrollen (BRP, LV, RNB en LNB).</w:t>
      </w:r>
    </w:p>
    <w:p w14:paraId="5DB0D402" w14:textId="77777777" w:rsidR="00331BB1" w:rsidRPr="00331BB1" w:rsidRDefault="00331BB1" w:rsidP="00331BB1">
      <w:pPr>
        <w:spacing w:before="120" w:line="288" w:lineRule="auto"/>
        <w:rPr>
          <w:rFonts w:asciiTheme="majorHAnsi" w:eastAsiaTheme="majorEastAsia" w:hAnsiTheme="majorHAnsi" w:cstheme="majorBidi"/>
          <w:color w:val="0A00A2"/>
          <w:sz w:val="28"/>
          <w:szCs w:val="28"/>
          <w:lang w:val="fr-FR"/>
        </w:rPr>
      </w:pPr>
      <w:proofErr w:type="spellStart"/>
      <w:r w:rsidRPr="00331BB1">
        <w:rPr>
          <w:rFonts w:asciiTheme="majorHAnsi" w:eastAsiaTheme="majorEastAsia" w:hAnsiTheme="majorHAnsi" w:cstheme="majorBidi"/>
          <w:color w:val="0A00A2"/>
          <w:sz w:val="28"/>
          <w:szCs w:val="28"/>
          <w:lang w:val="fr-FR"/>
        </w:rPr>
        <w:t>Tijdlijn</w:t>
      </w:r>
      <w:proofErr w:type="spellEnd"/>
      <w:r w:rsidRPr="00331BB1">
        <w:rPr>
          <w:rFonts w:asciiTheme="majorHAnsi" w:eastAsiaTheme="majorEastAsia" w:hAnsiTheme="majorHAnsi" w:cstheme="majorBidi"/>
          <w:color w:val="0A00A2"/>
          <w:sz w:val="28"/>
          <w:szCs w:val="28"/>
          <w:lang w:val="fr-FR"/>
        </w:rPr>
        <w:t xml:space="preserve"> A2.0 Tranche 3: IC257 en IC275</w:t>
      </w:r>
    </w:p>
    <w:p w14:paraId="63C22CA9" w14:textId="77777777" w:rsidR="00331BB1" w:rsidRDefault="00331BB1" w:rsidP="00331BB1">
      <w:pPr>
        <w:spacing w:before="120" w:line="288" w:lineRule="auto"/>
        <w:rPr>
          <w:bCs/>
          <w:noProof/>
        </w:rPr>
      </w:pPr>
      <w:r>
        <w:rPr>
          <w:bCs/>
          <w:noProof/>
        </w:rPr>
        <w:t>Onderstaande tabel geeft de tijdlijn weer die wordt gehanteerd met de functionele Go-Live datum van 01-01-2025.</w:t>
      </w:r>
    </w:p>
    <w:p w14:paraId="2B384ABA" w14:textId="77777777" w:rsidR="00331BB1" w:rsidRDefault="00331BB1" w:rsidP="00331BB1">
      <w:pPr>
        <w:spacing w:before="120" w:line="288" w:lineRule="auto"/>
        <w:rPr>
          <w:bCs/>
          <w:noProof/>
        </w:rPr>
      </w:pPr>
      <w:r>
        <w:rPr>
          <w:bCs/>
          <w:noProof/>
        </w:rPr>
        <w:drawing>
          <wp:inline distT="0" distB="0" distL="0" distR="0" wp14:anchorId="751CC3A9" wp14:editId="6B8B17B6">
            <wp:extent cx="5720284" cy="1696666"/>
            <wp:effectExtent l="0" t="0" r="0" b="0"/>
            <wp:docPr id="6" name="Afbeelding 6"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schermopname, nummer, Lettertype&#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1299" cy="1705865"/>
                    </a:xfrm>
                    <a:prstGeom prst="rect">
                      <a:avLst/>
                    </a:prstGeom>
                    <a:noFill/>
                  </pic:spPr>
                </pic:pic>
              </a:graphicData>
            </a:graphic>
          </wp:inline>
        </w:drawing>
      </w:r>
    </w:p>
    <w:p w14:paraId="29979AA9" w14:textId="77777777" w:rsidR="00331BB1" w:rsidRPr="00331BB1" w:rsidRDefault="00331BB1" w:rsidP="00331BB1">
      <w:pPr>
        <w:spacing w:before="120" w:line="288" w:lineRule="auto"/>
        <w:rPr>
          <w:rFonts w:asciiTheme="majorHAnsi" w:eastAsiaTheme="majorEastAsia" w:hAnsiTheme="majorHAnsi" w:cstheme="majorBidi"/>
          <w:color w:val="0A00A2"/>
          <w:sz w:val="28"/>
          <w:szCs w:val="28"/>
        </w:rPr>
      </w:pPr>
      <w:proofErr w:type="spellStart"/>
      <w:r w:rsidRPr="00331BB1">
        <w:rPr>
          <w:rFonts w:asciiTheme="majorHAnsi" w:eastAsiaTheme="majorEastAsia" w:hAnsiTheme="majorHAnsi" w:cstheme="majorBidi"/>
          <w:color w:val="0A00A2"/>
          <w:sz w:val="28"/>
          <w:szCs w:val="28"/>
        </w:rPr>
        <w:t>Maandovergangsstanden</w:t>
      </w:r>
      <w:proofErr w:type="spellEnd"/>
      <w:r w:rsidRPr="00331BB1">
        <w:rPr>
          <w:rFonts w:asciiTheme="majorHAnsi" w:eastAsiaTheme="majorEastAsia" w:hAnsiTheme="majorHAnsi" w:cstheme="majorBidi"/>
          <w:color w:val="0A00A2"/>
          <w:sz w:val="28"/>
          <w:szCs w:val="28"/>
        </w:rPr>
        <w:t xml:space="preserve"> IC275</w:t>
      </w:r>
    </w:p>
    <w:p w14:paraId="38151E1C" w14:textId="77777777" w:rsidR="00331BB1" w:rsidRDefault="00331BB1" w:rsidP="00331BB1">
      <w:pPr>
        <w:spacing w:before="120" w:line="288" w:lineRule="auto"/>
        <w:rPr>
          <w:bCs/>
          <w:noProof/>
        </w:rPr>
      </w:pPr>
      <w:r>
        <w:rPr>
          <w:bCs/>
          <w:noProof/>
        </w:rPr>
        <w:t>Hierbij geldt dat ten behoeve van</w:t>
      </w:r>
      <w:r w:rsidRPr="00EA5CBF">
        <w:rPr>
          <w:bCs/>
          <w:noProof/>
        </w:rPr>
        <w:t xml:space="preserve"> IC275 de ontbrekende</w:t>
      </w:r>
      <w:r>
        <w:rPr>
          <w:bCs/>
          <w:noProof/>
        </w:rPr>
        <w:t xml:space="preserve"> (lees: niet uit de meetinrichting uit te lezen)</w:t>
      </w:r>
      <w:r w:rsidRPr="00EA5CBF">
        <w:rPr>
          <w:bCs/>
          <w:noProof/>
        </w:rPr>
        <w:t xml:space="preserve"> maandovergangsstanden per </w:t>
      </w:r>
      <w:r>
        <w:rPr>
          <w:bCs/>
          <w:noProof/>
        </w:rPr>
        <w:t>0</w:t>
      </w:r>
      <w:r w:rsidRPr="00EA5CBF">
        <w:rPr>
          <w:bCs/>
          <w:noProof/>
        </w:rPr>
        <w:t>1-</w:t>
      </w:r>
      <w:r>
        <w:rPr>
          <w:bCs/>
          <w:noProof/>
        </w:rPr>
        <w:t>01</w:t>
      </w:r>
      <w:r w:rsidRPr="00EA5CBF">
        <w:rPr>
          <w:bCs/>
          <w:noProof/>
        </w:rPr>
        <w:t>-202</w:t>
      </w:r>
      <w:r>
        <w:rPr>
          <w:bCs/>
          <w:noProof/>
        </w:rPr>
        <w:t>5</w:t>
      </w:r>
      <w:r w:rsidRPr="00EA5CBF">
        <w:rPr>
          <w:bCs/>
          <w:noProof/>
        </w:rPr>
        <w:t xml:space="preserve"> berekend</w:t>
      </w:r>
      <w:r>
        <w:rPr>
          <w:bCs/>
          <w:noProof/>
        </w:rPr>
        <w:t xml:space="preserve"> worden (en daarna uiteraard bij elke volgende maandovergang conform IC275)</w:t>
      </w:r>
      <w:r w:rsidRPr="00EA5CBF">
        <w:rPr>
          <w:bCs/>
          <w:noProof/>
        </w:rPr>
        <w:t>.</w:t>
      </w:r>
    </w:p>
    <w:p w14:paraId="1D30F469" w14:textId="77777777" w:rsidR="00331BB1" w:rsidRDefault="00331BB1" w:rsidP="00331BB1">
      <w:pPr>
        <w:spacing w:before="120" w:line="288" w:lineRule="auto"/>
        <w:rPr>
          <w:b/>
          <w:noProof/>
        </w:rPr>
      </w:pPr>
    </w:p>
    <w:p w14:paraId="7A1D2A9F" w14:textId="77777777" w:rsidR="00331BB1" w:rsidRDefault="00331BB1" w:rsidP="00331BB1">
      <w:pPr>
        <w:spacing w:before="120" w:line="288" w:lineRule="auto"/>
        <w:rPr>
          <w:b/>
          <w:noProof/>
        </w:rPr>
      </w:pPr>
      <w:r>
        <w:rPr>
          <w:b/>
          <w:noProof/>
        </w:rPr>
        <w:br w:type="page"/>
      </w:r>
    </w:p>
    <w:p w14:paraId="4BF904BB" w14:textId="77777777" w:rsidR="00331BB1" w:rsidRDefault="00331BB1" w:rsidP="00331BB1">
      <w:pPr>
        <w:spacing w:before="120" w:line="288" w:lineRule="auto"/>
        <w:rPr>
          <w:b/>
          <w:noProof/>
        </w:rPr>
      </w:pPr>
    </w:p>
    <w:p w14:paraId="2B375439" w14:textId="77777777" w:rsidR="00331BB1" w:rsidRPr="00331BB1" w:rsidRDefault="00331BB1" w:rsidP="00331BB1">
      <w:pPr>
        <w:spacing w:before="120" w:line="288" w:lineRule="auto"/>
        <w:rPr>
          <w:rFonts w:asciiTheme="majorHAnsi" w:eastAsiaTheme="majorEastAsia" w:hAnsiTheme="majorHAnsi" w:cstheme="majorBidi"/>
          <w:color w:val="0A00A2"/>
          <w:sz w:val="28"/>
          <w:szCs w:val="28"/>
        </w:rPr>
      </w:pPr>
      <w:r w:rsidRPr="00331BB1">
        <w:rPr>
          <w:rFonts w:asciiTheme="majorHAnsi" w:eastAsiaTheme="majorEastAsia" w:hAnsiTheme="majorHAnsi" w:cstheme="majorBidi"/>
          <w:color w:val="0A00A2"/>
          <w:sz w:val="28"/>
          <w:szCs w:val="28"/>
        </w:rPr>
        <w:t>Toepassing IC011B, IC252 en IC257 rondom de transitie van A2.0 Tranche3</w:t>
      </w:r>
    </w:p>
    <w:p w14:paraId="04A6E3D4" w14:textId="77777777" w:rsidR="00331BB1" w:rsidRDefault="00331BB1" w:rsidP="00331BB1">
      <w:pPr>
        <w:spacing w:before="120" w:line="288" w:lineRule="auto"/>
        <w:rPr>
          <w:bCs/>
          <w:noProof/>
        </w:rPr>
      </w:pPr>
      <w:r>
        <w:rPr>
          <w:bCs/>
          <w:noProof/>
        </w:rPr>
        <w:t xml:space="preserve">Onderstaand is het proces weergegeven voor de afhandeling van gecorrigeerde meetberichten met betrekking tot telemetrisch bemeten grootverbruik allocatiepunten elektriciteit </w:t>
      </w:r>
      <w:r w:rsidRPr="00A355FB">
        <w:rPr>
          <w:b/>
          <w:noProof/>
        </w:rPr>
        <w:t>(</w:t>
      </w:r>
      <w:r>
        <w:rPr>
          <w:b/>
          <w:noProof/>
        </w:rPr>
        <w:t xml:space="preserve">MSN N20 en VSN </w:t>
      </w:r>
      <w:r w:rsidRPr="00A355FB">
        <w:rPr>
          <w:b/>
          <w:noProof/>
        </w:rPr>
        <w:t>N41)</w:t>
      </w:r>
      <w:r>
        <w:rPr>
          <w:bCs/>
          <w:noProof/>
        </w:rPr>
        <w:t>.</w:t>
      </w:r>
    </w:p>
    <w:p w14:paraId="117EFCAF" w14:textId="77777777" w:rsidR="00331BB1" w:rsidRDefault="00331BB1" w:rsidP="00331BB1">
      <w:pPr>
        <w:spacing w:before="120" w:line="288" w:lineRule="auto"/>
        <w:rPr>
          <w:bCs/>
          <w:noProof/>
        </w:rPr>
      </w:pPr>
      <w:r>
        <w:rPr>
          <w:bCs/>
          <w:noProof/>
        </w:rPr>
        <w:drawing>
          <wp:inline distT="0" distB="0" distL="0" distR="0" wp14:anchorId="5219A1EB" wp14:editId="5B314CBA">
            <wp:extent cx="5923012" cy="2843174"/>
            <wp:effectExtent l="0" t="0" r="1905" b="0"/>
            <wp:docPr id="10" name="Afbeelding 10" descr="Afbeelding met tekst, schermopname,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st, schermopname, diagram, Lettertype&#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5373" cy="2863508"/>
                    </a:xfrm>
                    <a:prstGeom prst="rect">
                      <a:avLst/>
                    </a:prstGeom>
                    <a:noFill/>
                  </pic:spPr>
                </pic:pic>
              </a:graphicData>
            </a:graphic>
          </wp:inline>
        </w:drawing>
      </w:r>
    </w:p>
    <w:p w14:paraId="4FB06FAF" w14:textId="77777777" w:rsidR="00331BB1" w:rsidRPr="0066681F" w:rsidRDefault="00331BB1" w:rsidP="00331BB1">
      <w:pPr>
        <w:spacing w:before="120" w:line="288" w:lineRule="auto"/>
        <w:rPr>
          <w:bCs/>
          <w:noProof/>
        </w:rPr>
      </w:pPr>
    </w:p>
    <w:p w14:paraId="3EB96990" w14:textId="77777777" w:rsidR="00331BB1" w:rsidRDefault="00331BB1" w:rsidP="00331BB1">
      <w:pPr>
        <w:spacing w:before="120" w:line="288" w:lineRule="auto"/>
        <w:rPr>
          <w:bCs/>
          <w:noProof/>
        </w:rPr>
      </w:pPr>
      <w:r>
        <w:rPr>
          <w:bCs/>
          <w:noProof/>
        </w:rPr>
        <w:t xml:space="preserve">Onderstaand is het proces weergegeven voor de afhandeling van gecorrigeerde meetberichten voor geprofileerde grootverbruik allocatiepunten electriciteit </w:t>
      </w:r>
      <w:r w:rsidRPr="00A355FB">
        <w:rPr>
          <w:b/>
          <w:noProof/>
        </w:rPr>
        <w:t>(</w:t>
      </w:r>
      <w:r>
        <w:rPr>
          <w:b/>
          <w:noProof/>
        </w:rPr>
        <w:t xml:space="preserve">VSN </w:t>
      </w:r>
      <w:r w:rsidRPr="00A355FB">
        <w:rPr>
          <w:b/>
          <w:noProof/>
        </w:rPr>
        <w:t>N40)</w:t>
      </w:r>
      <w:r>
        <w:rPr>
          <w:bCs/>
          <w:noProof/>
        </w:rPr>
        <w:t xml:space="preserve"> en voor zowel telemetrisch bemeten als geprofileerde aansluitingen gas </w:t>
      </w:r>
      <w:r w:rsidRPr="00A355FB">
        <w:rPr>
          <w:b/>
          <w:noProof/>
        </w:rPr>
        <w:t>(</w:t>
      </w:r>
      <w:r>
        <w:rPr>
          <w:b/>
          <w:noProof/>
        </w:rPr>
        <w:t xml:space="preserve">MSN </w:t>
      </w:r>
      <w:r w:rsidRPr="00A355FB">
        <w:rPr>
          <w:b/>
          <w:noProof/>
        </w:rPr>
        <w:t xml:space="preserve">N30; </w:t>
      </w:r>
      <w:r>
        <w:rPr>
          <w:b/>
          <w:noProof/>
        </w:rPr>
        <w:t xml:space="preserve">VSN </w:t>
      </w:r>
      <w:r w:rsidRPr="00A355FB">
        <w:rPr>
          <w:b/>
          <w:noProof/>
        </w:rPr>
        <w:t>N60).</w:t>
      </w:r>
    </w:p>
    <w:p w14:paraId="6A137CBF" w14:textId="77777777" w:rsidR="00331BB1" w:rsidRDefault="00331BB1" w:rsidP="00331BB1">
      <w:pPr>
        <w:spacing w:before="120" w:line="288" w:lineRule="auto"/>
        <w:rPr>
          <w:bCs/>
          <w:noProof/>
        </w:rPr>
      </w:pPr>
      <w:r>
        <w:rPr>
          <w:bCs/>
          <w:noProof/>
        </w:rPr>
        <w:drawing>
          <wp:inline distT="0" distB="0" distL="0" distR="0" wp14:anchorId="2071EF41" wp14:editId="4DF45DB7">
            <wp:extent cx="5767577" cy="2904725"/>
            <wp:effectExtent l="0" t="0" r="0" b="0"/>
            <wp:docPr id="11" name="Afbeelding 11" descr="Afbeelding met tekst, schermopname, Elektrisch blauw,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tekst, schermopname, Elektrisch blauw, diagram&#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9708" cy="2920907"/>
                    </a:xfrm>
                    <a:prstGeom prst="rect">
                      <a:avLst/>
                    </a:prstGeom>
                    <a:noFill/>
                  </pic:spPr>
                </pic:pic>
              </a:graphicData>
            </a:graphic>
          </wp:inline>
        </w:drawing>
      </w:r>
    </w:p>
    <w:p w14:paraId="53B23430" w14:textId="77777777" w:rsidR="00331BB1" w:rsidRPr="001218AE" w:rsidRDefault="00331BB1" w:rsidP="00331BB1">
      <w:pPr>
        <w:spacing w:before="120" w:line="288" w:lineRule="auto"/>
        <w:rPr>
          <w:bCs/>
          <w:noProof/>
        </w:rPr>
      </w:pPr>
      <w:r w:rsidRPr="00331BB1">
        <w:rPr>
          <w:rFonts w:asciiTheme="majorHAnsi" w:eastAsiaTheme="majorEastAsia" w:hAnsiTheme="majorHAnsi" w:cstheme="majorBidi"/>
          <w:color w:val="0A00A2"/>
          <w:sz w:val="28"/>
          <w:szCs w:val="28"/>
        </w:rPr>
        <w:lastRenderedPageBreak/>
        <w:t>Uitgangspunten bij bovenstaande transitie</w:t>
      </w:r>
      <w:r>
        <w:rPr>
          <w:b/>
          <w:noProof/>
        </w:rPr>
        <w:br/>
      </w:r>
      <w:r w:rsidRPr="001218AE">
        <w:rPr>
          <w:bCs/>
          <w:noProof/>
        </w:rPr>
        <w:t>De onderstaande uitgangspunten gelden bij de transitie:</w:t>
      </w:r>
    </w:p>
    <w:p w14:paraId="7688E6BB" w14:textId="77777777" w:rsidR="00331BB1" w:rsidRPr="00CD3628" w:rsidRDefault="00331BB1" w:rsidP="00331BB1">
      <w:pPr>
        <w:widowControl w:val="0"/>
        <w:numPr>
          <w:ilvl w:val="0"/>
          <w:numId w:val="2"/>
        </w:numPr>
        <w:spacing w:line="288" w:lineRule="auto"/>
        <w:rPr>
          <w:bCs/>
          <w:noProof/>
        </w:rPr>
      </w:pPr>
      <w:r w:rsidRPr="00CD3628">
        <w:rPr>
          <w:bCs/>
          <w:noProof/>
        </w:rPr>
        <w:t xml:space="preserve">Meetberichten die </w:t>
      </w:r>
      <w:r w:rsidRPr="00CD3628">
        <w:rPr>
          <w:b/>
          <w:bCs/>
          <w:noProof/>
        </w:rPr>
        <w:t>voor de functionele go live</w:t>
      </w:r>
      <w:r>
        <w:rPr>
          <w:b/>
          <w:bCs/>
          <w:noProof/>
        </w:rPr>
        <w:t xml:space="preserve"> (FGL)</w:t>
      </w:r>
      <w:r w:rsidRPr="00CD3628">
        <w:rPr>
          <w:b/>
          <w:bCs/>
          <w:noProof/>
        </w:rPr>
        <w:t xml:space="preserve"> </w:t>
      </w:r>
      <w:r w:rsidRPr="00CD3628">
        <w:rPr>
          <w:bCs/>
          <w:noProof/>
        </w:rPr>
        <w:t xml:space="preserve">van </w:t>
      </w:r>
      <w:r>
        <w:rPr>
          <w:bCs/>
          <w:noProof/>
        </w:rPr>
        <w:t xml:space="preserve">A2.0 </w:t>
      </w:r>
      <w:r w:rsidRPr="00CD3628">
        <w:rPr>
          <w:bCs/>
          <w:noProof/>
        </w:rPr>
        <w:t xml:space="preserve">Tranche 3 ontvangen worden, worden conform de </w:t>
      </w:r>
      <w:r w:rsidRPr="00CD3628">
        <w:rPr>
          <w:b/>
          <w:bCs/>
          <w:noProof/>
        </w:rPr>
        <w:t xml:space="preserve">bestaande processen </w:t>
      </w:r>
      <w:r w:rsidRPr="00CD3628">
        <w:rPr>
          <w:bCs/>
          <w:noProof/>
        </w:rPr>
        <w:t>afgehandeld</w:t>
      </w:r>
      <w:r>
        <w:rPr>
          <w:bCs/>
          <w:noProof/>
        </w:rPr>
        <w:t>.</w:t>
      </w:r>
    </w:p>
    <w:p w14:paraId="7D089734" w14:textId="77777777" w:rsidR="00331BB1" w:rsidRPr="00CD3628" w:rsidRDefault="00331BB1" w:rsidP="00331BB1">
      <w:pPr>
        <w:widowControl w:val="0"/>
        <w:numPr>
          <w:ilvl w:val="0"/>
          <w:numId w:val="2"/>
        </w:numPr>
        <w:spacing w:line="288" w:lineRule="auto"/>
        <w:rPr>
          <w:bCs/>
          <w:noProof/>
        </w:rPr>
      </w:pPr>
      <w:r w:rsidRPr="00CD3628">
        <w:rPr>
          <w:bCs/>
          <w:noProof/>
        </w:rPr>
        <w:t xml:space="preserve">Meetberichten die </w:t>
      </w:r>
      <w:r w:rsidRPr="001218AE">
        <w:rPr>
          <w:b/>
          <w:noProof/>
        </w:rPr>
        <w:t>op of</w:t>
      </w:r>
      <w:r>
        <w:rPr>
          <w:bCs/>
          <w:noProof/>
        </w:rPr>
        <w:t xml:space="preserve"> </w:t>
      </w:r>
      <w:r w:rsidRPr="00CD3628">
        <w:rPr>
          <w:b/>
          <w:bCs/>
          <w:noProof/>
        </w:rPr>
        <w:t>na de functionele go live</w:t>
      </w:r>
      <w:r>
        <w:rPr>
          <w:b/>
          <w:bCs/>
          <w:noProof/>
        </w:rPr>
        <w:t xml:space="preserve"> (FGL)</w:t>
      </w:r>
      <w:r w:rsidRPr="00CD3628">
        <w:rPr>
          <w:b/>
          <w:bCs/>
          <w:noProof/>
        </w:rPr>
        <w:t xml:space="preserve"> </w:t>
      </w:r>
      <w:r w:rsidRPr="00CD3628">
        <w:rPr>
          <w:bCs/>
          <w:noProof/>
        </w:rPr>
        <w:t xml:space="preserve">van </w:t>
      </w:r>
      <w:r>
        <w:rPr>
          <w:bCs/>
          <w:noProof/>
        </w:rPr>
        <w:t xml:space="preserve">A2.0 </w:t>
      </w:r>
      <w:r w:rsidRPr="00CD3628">
        <w:rPr>
          <w:bCs/>
          <w:noProof/>
        </w:rPr>
        <w:t xml:space="preserve">Tranche 3 ontvangen worden, worden conform de </w:t>
      </w:r>
      <w:r w:rsidRPr="00CD3628">
        <w:rPr>
          <w:b/>
          <w:bCs/>
          <w:noProof/>
        </w:rPr>
        <w:t xml:space="preserve">nieuwe processen </w:t>
      </w:r>
      <w:r w:rsidRPr="00CD3628">
        <w:rPr>
          <w:bCs/>
          <w:noProof/>
        </w:rPr>
        <w:t>afgehandeld</w:t>
      </w:r>
      <w:r>
        <w:rPr>
          <w:bCs/>
          <w:noProof/>
        </w:rPr>
        <w:t>. Dit geldt ook</w:t>
      </w:r>
      <w:r w:rsidRPr="00CD3628">
        <w:rPr>
          <w:bCs/>
          <w:noProof/>
        </w:rPr>
        <w:t xml:space="preserve"> als de meetgegevens betrekking hebben op een periode voor de functionele go live</w:t>
      </w:r>
      <w:r>
        <w:rPr>
          <w:bCs/>
          <w:noProof/>
        </w:rPr>
        <w:t xml:space="preserve"> (FGL) van A2.0 Tranche 3.</w:t>
      </w:r>
    </w:p>
    <w:p w14:paraId="4D9DAF15" w14:textId="77777777" w:rsidR="00331BB1" w:rsidRPr="00CD3628" w:rsidRDefault="00331BB1" w:rsidP="00331BB1">
      <w:pPr>
        <w:widowControl w:val="0"/>
        <w:numPr>
          <w:ilvl w:val="0"/>
          <w:numId w:val="2"/>
        </w:numPr>
        <w:spacing w:line="288" w:lineRule="auto"/>
        <w:rPr>
          <w:bCs/>
          <w:noProof/>
        </w:rPr>
      </w:pPr>
      <w:r>
        <w:rPr>
          <w:bCs/>
          <w:noProof/>
        </w:rPr>
        <w:t>Het m</w:t>
      </w:r>
      <w:r w:rsidRPr="00CD3628">
        <w:rPr>
          <w:bCs/>
          <w:noProof/>
        </w:rPr>
        <w:t xml:space="preserve">oment van versturen van meetberichten door de MV wordt </w:t>
      </w:r>
      <w:r>
        <w:rPr>
          <w:bCs/>
          <w:noProof/>
        </w:rPr>
        <w:t>g</w:t>
      </w:r>
      <w:r w:rsidRPr="00CD3628">
        <w:rPr>
          <w:bCs/>
          <w:noProof/>
        </w:rPr>
        <w:t>elijk gesteld aan het moment van ontvangen door N</w:t>
      </w:r>
      <w:r>
        <w:rPr>
          <w:bCs/>
          <w:noProof/>
        </w:rPr>
        <w:t xml:space="preserve">B. Hierbij </w:t>
      </w:r>
      <w:r w:rsidRPr="00927C1A">
        <w:rPr>
          <w:bCs/>
          <w:noProof/>
        </w:rPr>
        <w:t xml:space="preserve">wordt aangenomen dat de berichten gelijk verwerkt worden en hier geen noemenswaardige verwerkingstijd tussen zit. Dit is op </w:t>
      </w:r>
      <w:r>
        <w:rPr>
          <w:bCs/>
          <w:noProof/>
        </w:rPr>
        <w:t xml:space="preserve">enkel </w:t>
      </w:r>
      <w:r w:rsidRPr="00927C1A">
        <w:rPr>
          <w:bCs/>
          <w:noProof/>
        </w:rPr>
        <w:t xml:space="preserve">incidenten na voor alle </w:t>
      </w:r>
      <w:r>
        <w:rPr>
          <w:bCs/>
          <w:noProof/>
        </w:rPr>
        <w:t>meet</w:t>
      </w:r>
      <w:r w:rsidRPr="00927C1A">
        <w:rPr>
          <w:bCs/>
          <w:noProof/>
        </w:rPr>
        <w:t>berichten het geval</w:t>
      </w:r>
      <w:r>
        <w:rPr>
          <w:bCs/>
          <w:noProof/>
        </w:rPr>
        <w:t>.</w:t>
      </w:r>
    </w:p>
    <w:p w14:paraId="3552A8F3" w14:textId="77777777" w:rsidR="00331BB1" w:rsidRDefault="00331BB1" w:rsidP="00331BB1">
      <w:pPr>
        <w:widowControl w:val="0"/>
        <w:numPr>
          <w:ilvl w:val="0"/>
          <w:numId w:val="2"/>
        </w:numPr>
        <w:spacing w:line="288" w:lineRule="auto"/>
        <w:rPr>
          <w:bCs/>
          <w:noProof/>
        </w:rPr>
      </w:pPr>
      <w:r w:rsidRPr="00CD3628">
        <w:rPr>
          <w:bCs/>
          <w:noProof/>
        </w:rPr>
        <w:t xml:space="preserve">Verrekeningen van netkoppelpunten blijven </w:t>
      </w:r>
      <w:r>
        <w:rPr>
          <w:bCs/>
          <w:noProof/>
        </w:rPr>
        <w:t>‘</w:t>
      </w:r>
      <w:r w:rsidRPr="00CD3628">
        <w:rPr>
          <w:bCs/>
          <w:noProof/>
        </w:rPr>
        <w:t>as is</w:t>
      </w:r>
      <w:r>
        <w:rPr>
          <w:bCs/>
          <w:noProof/>
        </w:rPr>
        <w:t>’</w:t>
      </w:r>
      <w:r w:rsidRPr="00CD3628">
        <w:rPr>
          <w:bCs/>
          <w:noProof/>
        </w:rPr>
        <w:t xml:space="preserve"> en (dus) bilateraal</w:t>
      </w:r>
      <w:r>
        <w:rPr>
          <w:bCs/>
          <w:noProof/>
        </w:rPr>
        <w:t xml:space="preserve"> uitgevoerd worden tussen de betrokken netbeheerders.</w:t>
      </w:r>
    </w:p>
    <w:p w14:paraId="3F283078" w14:textId="77777777" w:rsidR="00331BB1" w:rsidRPr="00CD3628" w:rsidRDefault="00331BB1" w:rsidP="00331BB1">
      <w:pPr>
        <w:widowControl w:val="0"/>
        <w:numPr>
          <w:ilvl w:val="0"/>
          <w:numId w:val="2"/>
        </w:numPr>
        <w:spacing w:line="288" w:lineRule="auto"/>
        <w:rPr>
          <w:bCs/>
          <w:noProof/>
        </w:rPr>
      </w:pPr>
      <w:r>
        <w:rPr>
          <w:bCs/>
          <w:noProof/>
        </w:rPr>
        <w:t>Verrekeningen met betrekking tot gedimensioneerde allocatiepunten zijn niet in scope van IC257.</w:t>
      </w:r>
    </w:p>
    <w:p w14:paraId="03D83C4C" w14:textId="77777777" w:rsidR="00331BB1" w:rsidRPr="00CD3628" w:rsidRDefault="00331BB1" w:rsidP="00331BB1">
      <w:pPr>
        <w:widowControl w:val="0"/>
        <w:numPr>
          <w:ilvl w:val="0"/>
          <w:numId w:val="2"/>
        </w:numPr>
        <w:spacing w:line="288" w:lineRule="auto"/>
        <w:rPr>
          <w:bCs/>
          <w:noProof/>
        </w:rPr>
      </w:pPr>
      <w:r w:rsidRPr="00CD3628">
        <w:rPr>
          <w:bCs/>
          <w:noProof/>
        </w:rPr>
        <w:t xml:space="preserve">Vanaf de functionele go-live van TR3 gelden de </w:t>
      </w:r>
      <w:r>
        <w:rPr>
          <w:bCs/>
          <w:noProof/>
        </w:rPr>
        <w:t>reconciliatie</w:t>
      </w:r>
      <w:r w:rsidRPr="00CD3628">
        <w:rPr>
          <w:bCs/>
          <w:noProof/>
        </w:rPr>
        <w:t>prijzen van IC279 bij de toepassing van IC252, IC257 en IC275</w:t>
      </w:r>
      <w:r>
        <w:rPr>
          <w:bCs/>
          <w:noProof/>
        </w:rPr>
        <w:t>.</w:t>
      </w:r>
    </w:p>
    <w:p w14:paraId="198DD4C7" w14:textId="77777777" w:rsidR="00331BB1" w:rsidRPr="00CD3628" w:rsidRDefault="00331BB1" w:rsidP="00331BB1">
      <w:pPr>
        <w:widowControl w:val="0"/>
        <w:numPr>
          <w:ilvl w:val="0"/>
          <w:numId w:val="2"/>
        </w:numPr>
        <w:spacing w:line="288" w:lineRule="auto"/>
        <w:rPr>
          <w:bCs/>
          <w:noProof/>
        </w:rPr>
      </w:pPr>
      <w:r w:rsidRPr="00CD3628">
        <w:rPr>
          <w:bCs/>
          <w:noProof/>
        </w:rPr>
        <w:t xml:space="preserve">Alle IC011B cases worden </w:t>
      </w:r>
      <w:r w:rsidRPr="00A51E00">
        <w:rPr>
          <w:bCs/>
          <w:noProof/>
        </w:rPr>
        <w:t xml:space="preserve">worden afgerekend </w:t>
      </w:r>
      <w:r>
        <w:rPr>
          <w:bCs/>
          <w:noProof/>
        </w:rPr>
        <w:t>met d</w:t>
      </w:r>
      <w:r w:rsidRPr="00A51E00">
        <w:rPr>
          <w:bCs/>
          <w:noProof/>
        </w:rPr>
        <w:t xml:space="preserve">e reconciliatieprijzen zoals deze worden gepubliceerd door TenneT </w:t>
      </w:r>
      <w:r>
        <w:rPr>
          <w:bCs/>
          <w:noProof/>
        </w:rPr>
        <w:t xml:space="preserve">en berekende zijn op basis van </w:t>
      </w:r>
      <w:r w:rsidRPr="00A51E00">
        <w:rPr>
          <w:bCs/>
          <w:noProof/>
        </w:rPr>
        <w:t>het landelijk debiet per uur van profielafnemers gewogen gemiddelde van de APX day ahead prijs</w:t>
      </w:r>
      <w:r w:rsidRPr="00CD3628">
        <w:rPr>
          <w:bCs/>
          <w:noProof/>
        </w:rPr>
        <w:t>.</w:t>
      </w:r>
    </w:p>
    <w:p w14:paraId="3BC41608" w14:textId="77777777" w:rsidR="00331BB1" w:rsidRPr="00331BB1" w:rsidRDefault="00331BB1" w:rsidP="00331BB1">
      <w:pPr>
        <w:spacing w:before="120" w:line="288" w:lineRule="auto"/>
        <w:rPr>
          <w:rFonts w:asciiTheme="majorHAnsi" w:eastAsiaTheme="majorEastAsia" w:hAnsiTheme="majorHAnsi" w:cstheme="majorBidi"/>
          <w:color w:val="0A00A2"/>
          <w:sz w:val="28"/>
          <w:szCs w:val="28"/>
        </w:rPr>
      </w:pPr>
      <w:r w:rsidRPr="00331BB1">
        <w:rPr>
          <w:rFonts w:asciiTheme="majorHAnsi" w:eastAsiaTheme="majorEastAsia" w:hAnsiTheme="majorHAnsi" w:cstheme="majorBidi"/>
          <w:color w:val="0A00A2"/>
          <w:sz w:val="28"/>
          <w:szCs w:val="28"/>
        </w:rPr>
        <w:t xml:space="preserve">Transitiemaatregelen overgang IC011B naar IC252 proces </w:t>
      </w:r>
    </w:p>
    <w:p w14:paraId="6C8E0473" w14:textId="77777777" w:rsidR="00331BB1" w:rsidRDefault="00331BB1" w:rsidP="00331BB1">
      <w:pPr>
        <w:spacing w:before="120" w:line="288" w:lineRule="auto"/>
        <w:rPr>
          <w:bCs/>
          <w:noProof/>
        </w:rPr>
      </w:pPr>
      <w:r>
        <w:rPr>
          <w:bCs/>
          <w:noProof/>
        </w:rPr>
        <w:t>Het huidige IC011B proces behelst een verrekening tussen de NB en de BRP. Het nieuwe IC252 verrekenproces verrekent echter tussen NB en de LV. De transitie van het bestaande IC011B proces naar het nieuwe IC252 verrekenproces vraagt daarom aandacht en enkele transitiemaatregelen om te voorkomen dat beide processen overlappen en daarmee onduidelijkheid ontstaat tussen marktrollen over wie bij welke verrekening is betrokken.</w:t>
      </w:r>
    </w:p>
    <w:p w14:paraId="1F4D9DED" w14:textId="77777777" w:rsidR="00331BB1" w:rsidRDefault="00331BB1" w:rsidP="00331BB1">
      <w:pPr>
        <w:spacing w:before="120" w:line="288" w:lineRule="auto"/>
        <w:rPr>
          <w:bCs/>
          <w:noProof/>
        </w:rPr>
      </w:pPr>
      <w:r>
        <w:rPr>
          <w:bCs/>
          <w:noProof/>
        </w:rPr>
        <w:t xml:space="preserve">Om een transparante overgang mogelijk te maken is met marktrollen afsgestemd dat </w:t>
      </w:r>
      <w:r w:rsidRPr="005E1F4C">
        <w:rPr>
          <w:bCs/>
          <w:noProof/>
        </w:rPr>
        <w:t xml:space="preserve">de tijdslijnen van IC011B tijdelijk </w:t>
      </w:r>
      <w:r>
        <w:rPr>
          <w:bCs/>
          <w:noProof/>
        </w:rPr>
        <w:t xml:space="preserve">worden aangepast </w:t>
      </w:r>
      <w:r w:rsidRPr="005E1F4C">
        <w:rPr>
          <w:bCs/>
          <w:noProof/>
        </w:rPr>
        <w:t>zodat de processen niet parallel lopen.</w:t>
      </w:r>
    </w:p>
    <w:p w14:paraId="7FB0412B" w14:textId="77777777" w:rsidR="00331BB1" w:rsidRPr="001B4ACF" w:rsidRDefault="00331BB1" w:rsidP="00331BB1">
      <w:pPr>
        <w:spacing w:before="120" w:line="288" w:lineRule="auto"/>
        <w:rPr>
          <w:bCs/>
          <w:noProof/>
        </w:rPr>
      </w:pPr>
      <w:r w:rsidRPr="001B4ACF">
        <w:rPr>
          <w:bCs/>
          <w:noProof/>
        </w:rPr>
        <w:t xml:space="preserve">In </w:t>
      </w:r>
      <w:r>
        <w:rPr>
          <w:bCs/>
          <w:noProof/>
        </w:rPr>
        <w:t xml:space="preserve">onderstaand beschrijving </w:t>
      </w:r>
      <w:r w:rsidRPr="001B4ACF">
        <w:rPr>
          <w:bCs/>
          <w:noProof/>
        </w:rPr>
        <w:t xml:space="preserve">wordt </w:t>
      </w:r>
      <w:r>
        <w:rPr>
          <w:bCs/>
          <w:noProof/>
        </w:rPr>
        <w:t xml:space="preserve">ook </w:t>
      </w:r>
      <w:r w:rsidRPr="001B4ACF">
        <w:rPr>
          <w:bCs/>
          <w:noProof/>
        </w:rPr>
        <w:t xml:space="preserve">uitgegaan van </w:t>
      </w:r>
      <w:r>
        <w:rPr>
          <w:bCs/>
          <w:noProof/>
        </w:rPr>
        <w:t>de vastgestelde</w:t>
      </w:r>
      <w:r w:rsidRPr="001B4ACF">
        <w:rPr>
          <w:bCs/>
          <w:noProof/>
        </w:rPr>
        <w:t xml:space="preserve"> functionele </w:t>
      </w:r>
      <w:r>
        <w:rPr>
          <w:bCs/>
          <w:noProof/>
        </w:rPr>
        <w:t xml:space="preserve">go </w:t>
      </w:r>
      <w:r w:rsidRPr="001B4ACF">
        <w:rPr>
          <w:bCs/>
          <w:noProof/>
        </w:rPr>
        <w:t xml:space="preserve">live van IC252 op </w:t>
      </w:r>
      <w:r>
        <w:rPr>
          <w:bCs/>
          <w:noProof/>
        </w:rPr>
        <w:t>0</w:t>
      </w:r>
      <w:r w:rsidRPr="001B4ACF">
        <w:rPr>
          <w:bCs/>
          <w:noProof/>
        </w:rPr>
        <w:t>1-</w:t>
      </w:r>
      <w:r>
        <w:rPr>
          <w:bCs/>
          <w:noProof/>
        </w:rPr>
        <w:t>01</w:t>
      </w:r>
      <w:r w:rsidRPr="001B4ACF">
        <w:rPr>
          <w:bCs/>
          <w:noProof/>
        </w:rPr>
        <w:t>-202</w:t>
      </w:r>
      <w:r>
        <w:rPr>
          <w:bCs/>
          <w:noProof/>
        </w:rPr>
        <w:t>5. Mocht dit wijzgen dan wijzigen ook de ondergenoemde datums.</w:t>
      </w:r>
    </w:p>
    <w:p w14:paraId="27C1180B" w14:textId="77777777" w:rsidR="00331BB1" w:rsidRPr="001B4ACF" w:rsidRDefault="00331BB1" w:rsidP="00331BB1">
      <w:pPr>
        <w:spacing w:before="120" w:line="288" w:lineRule="auto"/>
        <w:rPr>
          <w:bCs/>
          <w:noProof/>
        </w:rPr>
      </w:pPr>
      <w:r w:rsidRPr="001B4ACF">
        <w:rPr>
          <w:bCs/>
          <w:noProof/>
        </w:rPr>
        <w:t>Transitiemaatregelen:</w:t>
      </w:r>
    </w:p>
    <w:p w14:paraId="35C41691" w14:textId="77777777" w:rsidR="00331BB1" w:rsidRDefault="00331BB1" w:rsidP="00331BB1">
      <w:pPr>
        <w:widowControl w:val="0"/>
        <w:numPr>
          <w:ilvl w:val="1"/>
          <w:numId w:val="1"/>
        </w:numPr>
        <w:tabs>
          <w:tab w:val="clear" w:pos="1440"/>
        </w:tabs>
        <w:spacing w:before="120" w:line="288" w:lineRule="auto"/>
        <w:ind w:left="426"/>
        <w:rPr>
          <w:bCs/>
          <w:noProof/>
        </w:rPr>
      </w:pPr>
      <w:r w:rsidRPr="001B4ACF">
        <w:rPr>
          <w:bCs/>
          <w:noProof/>
        </w:rPr>
        <w:t>Vanaf procesmaand 2024.0</w:t>
      </w:r>
      <w:r>
        <w:rPr>
          <w:bCs/>
          <w:noProof/>
        </w:rPr>
        <w:t>7</w:t>
      </w:r>
      <w:r w:rsidRPr="001B4ACF">
        <w:rPr>
          <w:bCs/>
          <w:noProof/>
        </w:rPr>
        <w:t xml:space="preserve"> wordt er vanuit </w:t>
      </w:r>
      <w:r>
        <w:rPr>
          <w:bCs/>
          <w:noProof/>
        </w:rPr>
        <w:t xml:space="preserve">het </w:t>
      </w:r>
      <w:r w:rsidRPr="001B4ACF">
        <w:rPr>
          <w:bCs/>
          <w:noProof/>
        </w:rPr>
        <w:t>proces IC011B alleen het voorlopige verrekenvoorstel gestuurd</w:t>
      </w:r>
      <w:r>
        <w:rPr>
          <w:bCs/>
          <w:noProof/>
        </w:rPr>
        <w:t xml:space="preserve"> en dit voorlopige verrekenvoorstel wordt als definitief beschouwd</w:t>
      </w:r>
      <w:r w:rsidRPr="001B4ACF">
        <w:rPr>
          <w:bCs/>
          <w:noProof/>
        </w:rPr>
        <w:t>. Uiteraard is er wel de mogelijkheid om, zoals gebruikelijk, individuele cases ter afstemming/discussie te stellen tussen BRP en NB</w:t>
      </w:r>
      <w:r>
        <w:rPr>
          <w:bCs/>
          <w:noProof/>
        </w:rPr>
        <w:t>.</w:t>
      </w:r>
    </w:p>
    <w:p w14:paraId="561ABCEC" w14:textId="77777777" w:rsidR="00331BB1" w:rsidRPr="001B4ACF" w:rsidRDefault="00331BB1" w:rsidP="00331BB1">
      <w:pPr>
        <w:widowControl w:val="0"/>
        <w:spacing w:before="120" w:line="288" w:lineRule="auto"/>
        <w:ind w:left="426"/>
        <w:rPr>
          <w:bCs/>
          <w:noProof/>
        </w:rPr>
      </w:pPr>
    </w:p>
    <w:p w14:paraId="7F76D3F9" w14:textId="55790B51" w:rsidR="00331BB1" w:rsidRPr="00331BB1" w:rsidRDefault="00331BB1" w:rsidP="00331BB1">
      <w:pPr>
        <w:widowControl w:val="0"/>
        <w:numPr>
          <w:ilvl w:val="1"/>
          <w:numId w:val="1"/>
        </w:numPr>
        <w:tabs>
          <w:tab w:val="clear" w:pos="1440"/>
        </w:tabs>
        <w:spacing w:before="120" w:line="288" w:lineRule="auto"/>
        <w:ind w:left="426"/>
        <w:rPr>
          <w:bCs/>
          <w:noProof/>
        </w:rPr>
      </w:pPr>
      <w:r w:rsidRPr="002838AD">
        <w:rPr>
          <w:bCs/>
          <w:noProof/>
        </w:rPr>
        <w:lastRenderedPageBreak/>
        <w:t>De distributie van de verrekenenvoorstellen vanuit het proces IC011B met bettrekking tot de procesmaanden 2024.11 en 2024.12 wordt naar voren gehaald, zodat deze afgerond is voor reguliere opstart van IC252 in de laatste week van februari 2025.</w:t>
      </w:r>
    </w:p>
    <w:p w14:paraId="7D5FEFBF" w14:textId="647D6267" w:rsidR="00331BB1" w:rsidRDefault="00331BB1" w:rsidP="00331BB1">
      <w:pPr>
        <w:spacing w:before="120" w:line="288" w:lineRule="auto"/>
        <w:rPr>
          <w:bCs/>
          <w:noProof/>
        </w:rPr>
      </w:pPr>
      <w:r w:rsidRPr="001B4ACF">
        <w:rPr>
          <w:bCs/>
          <w:noProof/>
        </w:rPr>
        <w:t>Onderstaand een schematische weergave van de tijdslijnen zonder (tabel A) en met voorgestelde transitiemaatregelen (tabel B).</w:t>
      </w:r>
    </w:p>
    <w:p w14:paraId="03A868C1" w14:textId="77777777" w:rsidR="00331BB1" w:rsidRDefault="00331BB1" w:rsidP="00331BB1">
      <w:pPr>
        <w:spacing w:before="120" w:line="288" w:lineRule="auto"/>
        <w:rPr>
          <w:bCs/>
          <w:noProof/>
        </w:rPr>
      </w:pPr>
      <w:r>
        <w:rPr>
          <w:bCs/>
          <w:noProof/>
        </w:rPr>
        <w:drawing>
          <wp:inline distT="0" distB="0" distL="0" distR="0" wp14:anchorId="32BC0BCD" wp14:editId="731D7489">
            <wp:extent cx="3099459" cy="1936396"/>
            <wp:effectExtent l="0" t="0" r="5715" b="6985"/>
            <wp:docPr id="4" name="Afbeelding 4" descr="Afbeelding met tekst, schermopnam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schermopname, nummer, lijn&#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1360" cy="1943831"/>
                    </a:xfrm>
                    <a:prstGeom prst="rect">
                      <a:avLst/>
                    </a:prstGeom>
                    <a:noFill/>
                  </pic:spPr>
                </pic:pic>
              </a:graphicData>
            </a:graphic>
          </wp:inline>
        </w:drawing>
      </w:r>
    </w:p>
    <w:p w14:paraId="2687580C" w14:textId="1FB4021D" w:rsidR="00D4200D" w:rsidRDefault="00331BB1" w:rsidP="00331BB1">
      <w:pPr>
        <w:spacing w:before="80"/>
      </w:pPr>
      <w:r>
        <w:rPr>
          <w:bCs/>
          <w:noProof/>
          <w:sz w:val="20"/>
        </w:rPr>
        <w:drawing>
          <wp:inline distT="0" distB="0" distL="0" distR="0" wp14:anchorId="4C0CAD65" wp14:editId="1D64DED3">
            <wp:extent cx="3099435" cy="2063148"/>
            <wp:effectExtent l="0" t="0" r="5715" b="0"/>
            <wp:docPr id="8" name="Afbeelding 8" descr="Afbeelding met tekst, schermopnam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 schermopname, nummer, lijn&#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9783" cy="2070036"/>
                    </a:xfrm>
                    <a:prstGeom prst="rect">
                      <a:avLst/>
                    </a:prstGeom>
                    <a:noFill/>
                  </pic:spPr>
                </pic:pic>
              </a:graphicData>
            </a:graphic>
          </wp:inline>
        </w:drawing>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5743"/>
      </w:tblGrid>
      <w:tr w:rsidR="009977A5" w14:paraId="6C028D57" w14:textId="77777777" w:rsidTr="003519EA">
        <w:tc>
          <w:tcPr>
            <w:tcW w:w="6179" w:type="dxa"/>
            <w:gridSpan w:val="2"/>
          </w:tcPr>
          <w:p w14:paraId="314981BA" w14:textId="77777777" w:rsidR="009977A5" w:rsidRPr="00A83B80" w:rsidRDefault="009977A5">
            <w:pPr>
              <w:rPr>
                <w:rFonts w:asciiTheme="minorHAnsi" w:hAnsiTheme="minorHAnsi" w:cstheme="minorHAnsi"/>
              </w:rPr>
            </w:pPr>
            <w:r w:rsidRPr="009977A5">
              <w:rPr>
                <w:rFonts w:asciiTheme="minorHAnsi" w:eastAsiaTheme="minorHAnsi" w:hAnsiTheme="minorHAnsi" w:cstheme="minorHAnsi"/>
                <w:b/>
                <w:bCs/>
                <w:color w:val="0A00A2" w:themeColor="accent1"/>
              </w:rPr>
              <w:t>Doel</w:t>
            </w:r>
          </w:p>
        </w:tc>
      </w:tr>
      <w:tr w:rsidR="009977A5" w14:paraId="4D382AFD" w14:textId="77777777" w:rsidTr="003519EA">
        <w:sdt>
          <w:sdtPr>
            <w:rPr>
              <w:rFonts w:cstheme="minorHAnsi"/>
            </w:rPr>
            <w:id w:val="2025748637"/>
            <w14:checkbox>
              <w14:checked w14:val="0"/>
              <w14:checkedState w14:val="2612" w14:font="MS Gothic"/>
              <w14:uncheckedState w14:val="2610" w14:font="MS Gothic"/>
            </w14:checkbox>
          </w:sdtPr>
          <w:sdtEndPr/>
          <w:sdtContent>
            <w:tc>
              <w:tcPr>
                <w:tcW w:w="436" w:type="dxa"/>
              </w:tcPr>
              <w:p w14:paraId="38F53B77" w14:textId="48B22510" w:rsidR="009977A5" w:rsidRPr="00A83B80" w:rsidRDefault="00854E04" w:rsidP="009977A5">
                <w:pPr>
                  <w:rPr>
                    <w:rFonts w:asciiTheme="minorHAnsi" w:hAnsiTheme="minorHAnsi" w:cstheme="minorHAnsi"/>
                  </w:rPr>
                </w:pPr>
                <w:r w:rsidRPr="00854E04">
                  <w:rPr>
                    <w:rFonts w:cstheme="minorHAnsi" w:hint="eastAsia"/>
                  </w:rPr>
                  <w:t>☐</w:t>
                </w:r>
              </w:p>
            </w:tc>
          </w:sdtContent>
        </w:sdt>
        <w:tc>
          <w:tcPr>
            <w:tcW w:w="5743" w:type="dxa"/>
          </w:tcPr>
          <w:p w14:paraId="32F71D9F" w14:textId="77777777" w:rsidR="009977A5" w:rsidRPr="00A83B80" w:rsidRDefault="009977A5" w:rsidP="00854E04">
            <w:pPr>
              <w:spacing w:line="240" w:lineRule="auto"/>
              <w:rPr>
                <w:rFonts w:asciiTheme="minorHAnsi" w:hAnsiTheme="minorHAnsi" w:cstheme="minorHAnsi"/>
              </w:rPr>
            </w:pPr>
            <w:r w:rsidRPr="00A83B80">
              <w:rPr>
                <w:rFonts w:asciiTheme="minorHAnsi" w:hAnsiTheme="minorHAnsi" w:cstheme="minorHAnsi"/>
              </w:rPr>
              <w:t>Ter vaststelling</w:t>
            </w:r>
          </w:p>
        </w:tc>
      </w:tr>
      <w:tr w:rsidR="009977A5" w14:paraId="7CA80D53" w14:textId="77777777" w:rsidTr="003519EA">
        <w:sdt>
          <w:sdtPr>
            <w:rPr>
              <w:rFonts w:cstheme="minorHAnsi"/>
            </w:rPr>
            <w:id w:val="-1928641058"/>
            <w14:checkbox>
              <w14:checked w14:val="1"/>
              <w14:checkedState w14:val="2612" w14:font="MS Gothic"/>
              <w14:uncheckedState w14:val="2610" w14:font="MS Gothic"/>
            </w14:checkbox>
          </w:sdtPr>
          <w:sdtEndPr/>
          <w:sdtContent>
            <w:tc>
              <w:tcPr>
                <w:tcW w:w="436" w:type="dxa"/>
              </w:tcPr>
              <w:p w14:paraId="7ED5F7A9" w14:textId="59A0EB0F" w:rsidR="009977A5" w:rsidRPr="00A83B80" w:rsidRDefault="00854E04" w:rsidP="009977A5">
                <w:pPr>
                  <w:rPr>
                    <w:rFonts w:asciiTheme="minorHAnsi" w:hAnsiTheme="minorHAnsi" w:cstheme="minorHAnsi"/>
                  </w:rPr>
                </w:pPr>
                <w:r w:rsidRPr="00854E04">
                  <w:rPr>
                    <w:rFonts w:cstheme="minorHAnsi" w:hint="eastAsia"/>
                  </w:rPr>
                  <w:t>☒</w:t>
                </w:r>
              </w:p>
            </w:tc>
          </w:sdtContent>
        </w:sdt>
        <w:tc>
          <w:tcPr>
            <w:tcW w:w="5743" w:type="dxa"/>
          </w:tcPr>
          <w:p w14:paraId="718B00BB" w14:textId="77777777" w:rsidR="009977A5" w:rsidRPr="00A83B80" w:rsidRDefault="009977A5" w:rsidP="00854E04">
            <w:pPr>
              <w:spacing w:line="240" w:lineRule="auto"/>
              <w:rPr>
                <w:rFonts w:asciiTheme="minorHAnsi" w:hAnsiTheme="minorHAnsi" w:cstheme="minorHAnsi"/>
              </w:rPr>
            </w:pPr>
            <w:r w:rsidRPr="00A83B80">
              <w:rPr>
                <w:rFonts w:asciiTheme="minorHAnsi" w:hAnsiTheme="minorHAnsi" w:cstheme="minorHAnsi"/>
              </w:rPr>
              <w:t>Ter goedkeuring</w:t>
            </w:r>
          </w:p>
        </w:tc>
      </w:tr>
      <w:tr w:rsidR="009977A5" w14:paraId="68363AC4" w14:textId="77777777" w:rsidTr="003519EA">
        <w:sdt>
          <w:sdtPr>
            <w:rPr>
              <w:rFonts w:cstheme="minorHAnsi"/>
            </w:rPr>
            <w:id w:val="-1266226404"/>
            <w14:checkbox>
              <w14:checked w14:val="0"/>
              <w14:checkedState w14:val="2612" w14:font="MS Gothic"/>
              <w14:uncheckedState w14:val="2610" w14:font="MS Gothic"/>
            </w14:checkbox>
          </w:sdtPr>
          <w:sdtEndPr/>
          <w:sdtContent>
            <w:tc>
              <w:tcPr>
                <w:tcW w:w="436" w:type="dxa"/>
              </w:tcPr>
              <w:p w14:paraId="0BBCE3CB" w14:textId="77777777" w:rsidR="009977A5" w:rsidRDefault="009977A5" w:rsidP="009977A5">
                <w:pPr>
                  <w:rPr>
                    <w:rFonts w:cstheme="minorHAnsi"/>
                  </w:rPr>
                </w:pPr>
                <w:r w:rsidRPr="00A83B80">
                  <w:rPr>
                    <w:rFonts w:ascii="Segoe UI Symbol" w:hAnsi="Segoe UI Symbol" w:cs="Segoe UI Symbol"/>
                  </w:rPr>
                  <w:t>☐</w:t>
                </w:r>
              </w:p>
            </w:tc>
          </w:sdtContent>
        </w:sdt>
        <w:tc>
          <w:tcPr>
            <w:tcW w:w="5743" w:type="dxa"/>
          </w:tcPr>
          <w:p w14:paraId="687B95FF" w14:textId="77777777" w:rsidR="009977A5" w:rsidRPr="00A83B80" w:rsidRDefault="009977A5" w:rsidP="00854E04">
            <w:pPr>
              <w:spacing w:line="240" w:lineRule="auto"/>
              <w:rPr>
                <w:rFonts w:cstheme="minorHAnsi"/>
              </w:rPr>
            </w:pPr>
            <w:r w:rsidRPr="00A83B80">
              <w:rPr>
                <w:rFonts w:asciiTheme="minorHAnsi" w:hAnsiTheme="minorHAnsi" w:cstheme="minorHAnsi"/>
              </w:rPr>
              <w:t>Ter informatie</w:t>
            </w:r>
          </w:p>
        </w:tc>
      </w:tr>
    </w:tbl>
    <w:p w14:paraId="037956F6" w14:textId="77777777" w:rsidR="00684066" w:rsidRDefault="00684066" w:rsidP="00887D99"/>
    <w:p w14:paraId="7A8D1EE2" w14:textId="5D6BBC6F" w:rsidR="00E63224" w:rsidRDefault="00A81D7B" w:rsidP="00887D99">
      <w:r>
        <w:rPr>
          <w:rFonts w:cstheme="minorHAnsi"/>
          <w:b/>
          <w:bCs/>
          <w:color w:val="0A00A2" w:themeColor="accent1"/>
        </w:rPr>
        <w:t>Besluit</w:t>
      </w:r>
      <w:r>
        <w:rPr>
          <w:rFonts w:cstheme="minorHAnsi"/>
          <w:b/>
          <w:bCs/>
          <w:color w:val="0A00A2" w:themeColor="accent1"/>
        </w:rPr>
        <w:br/>
      </w:r>
      <w:r w:rsidR="008639AC">
        <w:rPr>
          <w:rFonts w:cstheme="minorHAnsi"/>
          <w:b/>
          <w:bCs/>
          <w:color w:val="0A00A2" w:themeColor="accent1"/>
        </w:rPr>
        <w:t>De PFSG</w:t>
      </w:r>
      <w:r w:rsidR="000361B0">
        <w:rPr>
          <w:rFonts w:cstheme="minorHAnsi"/>
          <w:b/>
          <w:bCs/>
          <w:color w:val="0A00A2" w:themeColor="accent1"/>
        </w:rPr>
        <w:t xml:space="preserve"> </w:t>
      </w:r>
      <w:r w:rsidR="008639AC">
        <w:rPr>
          <w:rFonts w:cstheme="minorHAnsi"/>
          <w:b/>
          <w:bCs/>
          <w:color w:val="0A00A2" w:themeColor="accent1"/>
        </w:rPr>
        <w:t>stelt</w:t>
      </w:r>
      <w:r w:rsidR="000361B0">
        <w:rPr>
          <w:rFonts w:cstheme="minorHAnsi"/>
          <w:b/>
          <w:bCs/>
          <w:color w:val="0A00A2" w:themeColor="accent1"/>
        </w:rPr>
        <w:t xml:space="preserve"> in deze notitie genoemde transitietijdl</w:t>
      </w:r>
      <w:r w:rsidR="00F616DA">
        <w:rPr>
          <w:rFonts w:cstheme="minorHAnsi"/>
          <w:b/>
          <w:bCs/>
          <w:color w:val="0A00A2" w:themeColor="accent1"/>
        </w:rPr>
        <w:t xml:space="preserve">ijn – en afspraken </w:t>
      </w:r>
      <w:r w:rsidR="008639AC">
        <w:rPr>
          <w:rFonts w:cstheme="minorHAnsi"/>
          <w:b/>
          <w:bCs/>
          <w:color w:val="0A00A2" w:themeColor="accent1"/>
        </w:rPr>
        <w:t>vast</w:t>
      </w:r>
      <w:r w:rsidR="00F616DA">
        <w:rPr>
          <w:rFonts w:cstheme="minorHAnsi"/>
          <w:b/>
          <w:bCs/>
          <w:color w:val="0A00A2" w:themeColor="accent1"/>
        </w:rPr>
        <w:t xml:space="preserve">. </w:t>
      </w:r>
      <w:r w:rsidR="00C66393">
        <w:rPr>
          <w:rFonts w:cstheme="minorHAnsi"/>
          <w:b/>
          <w:bCs/>
          <w:color w:val="0A00A2" w:themeColor="accent1"/>
        </w:rPr>
        <w:br/>
      </w:r>
    </w:p>
    <w:tbl>
      <w:tblPr>
        <w:tblStyle w:val="Tabelrasterlicht"/>
        <w:tblW w:w="0" w:type="auto"/>
        <w:tblLook w:val="04A0" w:firstRow="1" w:lastRow="0" w:firstColumn="1" w:lastColumn="0" w:noHBand="0" w:noVBand="1"/>
      </w:tblPr>
      <w:tblGrid>
        <w:gridCol w:w="436"/>
        <w:gridCol w:w="7727"/>
      </w:tblGrid>
      <w:tr w:rsidR="00684066" w14:paraId="4E685C20" w14:textId="77777777" w:rsidTr="00331BB1">
        <w:tc>
          <w:tcPr>
            <w:tcW w:w="816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109C21A" w14:textId="77777777" w:rsidR="00684066" w:rsidRPr="00D458EE" w:rsidRDefault="00684066">
            <w:pPr>
              <w:rPr>
                <w:rFonts w:cstheme="minorHAnsi"/>
                <w:b/>
                <w:bCs/>
                <w:color w:val="0A00A2" w:themeColor="accent1"/>
              </w:rPr>
            </w:pPr>
            <w:r w:rsidRPr="00D458EE">
              <w:rPr>
                <w:rFonts w:cstheme="minorHAnsi"/>
                <w:b/>
                <w:bCs/>
                <w:color w:val="0A00A2" w:themeColor="accent1"/>
              </w:rPr>
              <w:t>Afgestemd met</w:t>
            </w:r>
          </w:p>
        </w:tc>
      </w:tr>
      <w:tr w:rsidR="00BB4208" w14:paraId="6BC0104F" w14:textId="77777777" w:rsidTr="00331BB1">
        <w:sdt>
          <w:sdtPr>
            <w:id w:val="1892453218"/>
            <w14:checkbox>
              <w14:checked w14:val="1"/>
              <w14:checkedState w14:val="2612" w14:font="MS Gothic"/>
              <w14:uncheckedState w14:val="2610" w14:font="MS Gothic"/>
            </w14:checkbox>
          </w:sdtPr>
          <w:sdtEndPr/>
          <w:sdtContent>
            <w:tc>
              <w:tcPr>
                <w:tcW w:w="4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4A31B0F" w14:textId="69DC5D1D" w:rsidR="00BB4208" w:rsidRDefault="006B2B35">
                <w:r>
                  <w:rPr>
                    <w:rFonts w:ascii="MS Gothic" w:eastAsia="MS Gothic" w:hAnsi="MS Gothic" w:hint="eastAsia"/>
                  </w:rPr>
                  <w:t>☒</w:t>
                </w:r>
              </w:p>
            </w:tc>
          </w:sdtContent>
        </w:sdt>
        <w:tc>
          <w:tcPr>
            <w:tcW w:w="7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051C359" w14:textId="27C5EBD2" w:rsidR="00BB4208" w:rsidRPr="00922A29" w:rsidRDefault="006B2B35" w:rsidP="00C66393">
            <w:pPr>
              <w:spacing w:line="240" w:lineRule="auto"/>
              <w:rPr>
                <w:rFonts w:cstheme="minorHAnsi"/>
              </w:rPr>
            </w:pPr>
            <w:r>
              <w:rPr>
                <w:rFonts w:cstheme="minorHAnsi"/>
              </w:rPr>
              <w:t>Klankbordgroep Transitie</w:t>
            </w:r>
          </w:p>
        </w:tc>
      </w:tr>
      <w:tr w:rsidR="00BB4208" w14:paraId="0229F833" w14:textId="77777777" w:rsidTr="00331BB1">
        <w:sdt>
          <w:sdtPr>
            <w:id w:val="-308019908"/>
            <w14:checkbox>
              <w14:checked w14:val="0"/>
              <w14:checkedState w14:val="2612" w14:font="MS Gothic"/>
              <w14:uncheckedState w14:val="2610" w14:font="MS Gothic"/>
            </w14:checkbox>
          </w:sdtPr>
          <w:sdtEndPr/>
          <w:sdtContent>
            <w:tc>
              <w:tcPr>
                <w:tcW w:w="4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23EA4E1" w14:textId="77777777" w:rsidR="00BB4208" w:rsidRDefault="00BB4208">
                <w:r w:rsidRPr="0033398C">
                  <w:rPr>
                    <w:rFonts w:ascii="Segoe UI Symbol" w:hAnsi="Segoe UI Symbol" w:cs="Segoe UI Symbol"/>
                  </w:rPr>
                  <w:t>☐</w:t>
                </w:r>
              </w:p>
            </w:tc>
          </w:sdtContent>
        </w:sdt>
        <w:tc>
          <w:tcPr>
            <w:tcW w:w="7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8482114" w14:textId="77777777" w:rsidR="00BB4208" w:rsidRPr="00922A29" w:rsidRDefault="00BB4208" w:rsidP="00C66393">
            <w:pPr>
              <w:spacing w:line="240" w:lineRule="auto"/>
              <w:rPr>
                <w:rFonts w:cstheme="minorHAnsi"/>
              </w:rPr>
            </w:pPr>
            <w:r>
              <w:rPr>
                <w:rFonts w:cstheme="minorHAnsi"/>
              </w:rPr>
              <w:t>Integraal Planningsoverleg</w:t>
            </w:r>
            <w:r w:rsidR="00A20758">
              <w:rPr>
                <w:rFonts w:cstheme="minorHAnsi"/>
              </w:rPr>
              <w:t xml:space="preserve"> (IPPO)</w:t>
            </w:r>
          </w:p>
        </w:tc>
      </w:tr>
      <w:tr w:rsidR="00BB4208" w14:paraId="05B3F92D" w14:textId="77777777" w:rsidTr="00331BB1">
        <w:sdt>
          <w:sdtPr>
            <w:id w:val="-46538020"/>
            <w14:checkbox>
              <w14:checked w14:val="1"/>
              <w14:checkedState w14:val="2612" w14:font="MS Gothic"/>
              <w14:uncheckedState w14:val="2610" w14:font="MS Gothic"/>
            </w14:checkbox>
          </w:sdtPr>
          <w:sdtEndPr/>
          <w:sdtContent>
            <w:tc>
              <w:tcPr>
                <w:tcW w:w="4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F2380CA" w14:textId="645BC431" w:rsidR="00BB4208" w:rsidRDefault="008639AC">
                <w:r>
                  <w:rPr>
                    <w:rFonts w:ascii="MS Gothic" w:eastAsia="MS Gothic" w:hAnsi="MS Gothic" w:hint="eastAsia"/>
                  </w:rPr>
                  <w:t>☒</w:t>
                </w:r>
              </w:p>
            </w:tc>
          </w:sdtContent>
        </w:sdt>
        <w:tc>
          <w:tcPr>
            <w:tcW w:w="7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0108B12" w14:textId="77777777" w:rsidR="00BB4208" w:rsidRPr="00922A29" w:rsidRDefault="00BB4208" w:rsidP="00C66393">
            <w:pPr>
              <w:spacing w:line="240" w:lineRule="auto"/>
              <w:rPr>
                <w:rFonts w:cstheme="minorHAnsi"/>
              </w:rPr>
            </w:pPr>
            <w:r>
              <w:rPr>
                <w:rFonts w:cstheme="minorHAnsi"/>
              </w:rPr>
              <w:t>Integraal Implementatie Sturingsoverleg</w:t>
            </w:r>
            <w:r w:rsidR="000B7CDE">
              <w:rPr>
                <w:rFonts w:cstheme="minorHAnsi"/>
              </w:rPr>
              <w:t xml:space="preserve"> (IISO)</w:t>
            </w:r>
          </w:p>
        </w:tc>
      </w:tr>
      <w:tr w:rsidR="00BB4208" w14:paraId="67181B38" w14:textId="77777777" w:rsidTr="00331BB1">
        <w:sdt>
          <w:sdtPr>
            <w:id w:val="1637682243"/>
            <w14:checkbox>
              <w14:checked w14:val="0"/>
              <w14:checkedState w14:val="2612" w14:font="MS Gothic"/>
              <w14:uncheckedState w14:val="2610" w14:font="MS Gothic"/>
            </w14:checkbox>
          </w:sdtPr>
          <w:sdtEndPr/>
          <w:sdtContent>
            <w:tc>
              <w:tcPr>
                <w:tcW w:w="4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46AD956" w14:textId="77777777" w:rsidR="00BB4208" w:rsidRDefault="00BB4208">
                <w:r w:rsidRPr="0033398C">
                  <w:rPr>
                    <w:rFonts w:ascii="Segoe UI Symbol" w:hAnsi="Segoe UI Symbol" w:cs="Segoe UI Symbol"/>
                  </w:rPr>
                  <w:t>☐</w:t>
                </w:r>
              </w:p>
            </w:tc>
          </w:sdtContent>
        </w:sdt>
        <w:tc>
          <w:tcPr>
            <w:tcW w:w="7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220959A" w14:textId="77777777" w:rsidR="00BB4208" w:rsidRPr="00922A29" w:rsidRDefault="00BB4208" w:rsidP="00C66393">
            <w:pPr>
              <w:spacing w:line="240" w:lineRule="auto"/>
              <w:rPr>
                <w:rFonts w:cstheme="minorHAnsi"/>
              </w:rPr>
            </w:pPr>
            <w:r>
              <w:rPr>
                <w:rFonts w:cstheme="minorHAnsi"/>
              </w:rPr>
              <w:t>BO Systeemprocessen</w:t>
            </w:r>
            <w:r w:rsidR="000B7CDE">
              <w:rPr>
                <w:rFonts w:cstheme="minorHAnsi"/>
              </w:rPr>
              <w:t xml:space="preserve"> (BOSO)</w:t>
            </w:r>
          </w:p>
        </w:tc>
      </w:tr>
    </w:tbl>
    <w:p w14:paraId="0621BAF3" w14:textId="77777777" w:rsidR="000D4D65" w:rsidRPr="000319CE" w:rsidRDefault="000D4D65" w:rsidP="006B2B35"/>
    <w:sectPr w:rsidR="000D4D65" w:rsidRPr="000319CE" w:rsidSect="00331BB1">
      <w:headerReference w:type="default" r:id="rId15"/>
      <w:footerReference w:type="default" r:id="rId16"/>
      <w:headerReference w:type="first" r:id="rId17"/>
      <w:footerReference w:type="first" r:id="rId18"/>
      <w:pgSz w:w="11900" w:h="16840"/>
      <w:pgMar w:top="1701" w:right="1701" w:bottom="2268"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7E9BB" w14:textId="77777777" w:rsidR="00A937CD" w:rsidRDefault="00A937CD" w:rsidP="00887D99">
      <w:r>
        <w:separator/>
      </w:r>
    </w:p>
  </w:endnote>
  <w:endnote w:type="continuationSeparator" w:id="0">
    <w:p w14:paraId="73765EFA" w14:textId="77777777" w:rsidR="00A937CD" w:rsidRDefault="00A937CD" w:rsidP="00887D99">
      <w:r>
        <w:continuationSeparator/>
      </w:r>
    </w:p>
  </w:endnote>
  <w:endnote w:type="continuationNotice" w:id="1">
    <w:p w14:paraId="249FA0BE" w14:textId="77777777" w:rsidR="00A937CD" w:rsidRDefault="00A937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340451"/>
      <w:docPartObj>
        <w:docPartGallery w:val="Page Numbers (Bottom of Page)"/>
        <w:docPartUnique/>
      </w:docPartObj>
    </w:sdtPr>
    <w:sdtEndPr/>
    <w:sdtContent>
      <w:sdt>
        <w:sdtPr>
          <w:id w:val="153579608"/>
          <w:docPartObj>
            <w:docPartGallery w:val="Page Numbers (Top of Page)"/>
            <w:docPartUnique/>
          </w:docPartObj>
        </w:sdtPr>
        <w:sdtEndPr/>
        <w:sdtContent>
          <w:p w14:paraId="1ED483D0" w14:textId="77777777" w:rsidR="00103572" w:rsidRDefault="00DC0743">
            <w:pPr>
              <w:pStyle w:val="Voettekst"/>
              <w:jc w:val="center"/>
              <w:rPr>
                <w:b/>
                <w:bCs/>
                <w:sz w:val="24"/>
                <w:szCs w:val="24"/>
              </w:rPr>
            </w:pPr>
            <w:r>
              <w:rPr>
                <w:noProof/>
              </w:rPr>
              <w:drawing>
                <wp:anchor distT="0" distB="0" distL="114300" distR="114300" simplePos="0" relativeHeight="251658243" behindDoc="1" locked="0" layoutInCell="1" allowOverlap="1" wp14:anchorId="6D805600" wp14:editId="6F702360">
                  <wp:simplePos x="0" y="0"/>
                  <wp:positionH relativeFrom="page">
                    <wp:align>right</wp:align>
                  </wp:positionH>
                  <wp:positionV relativeFrom="page">
                    <wp:align>bottom</wp:align>
                  </wp:positionV>
                  <wp:extent cx="2208388" cy="1417955"/>
                  <wp:effectExtent l="0" t="0" r="1905" b="0"/>
                  <wp:wrapNone/>
                  <wp:docPr id="260360067" name="Afbeelding 260360067" descr="Afbeelding met tekst, schermopname, Lettertype,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60067" name="Afbeelding 260360067" descr="Afbeelding met tekst, schermopname, Lettertype, visitekaartje&#10;&#10;Automatisch gegenereerde beschrijving"/>
                          <pic:cNvPicPr/>
                        </pic:nvPicPr>
                        <pic:blipFill rotWithShape="1">
                          <a:blip r:embed="rId1">
                            <a:extLst>
                              <a:ext uri="{28A0092B-C50C-407E-A947-70E740481C1C}">
                                <a14:useLocalDpi xmlns:a14="http://schemas.microsoft.com/office/drawing/2010/main" val="0"/>
                              </a:ext>
                            </a:extLst>
                          </a:blip>
                          <a:srcRect l="70779"/>
                          <a:stretch/>
                        </pic:blipFill>
                        <pic:spPr bwMode="auto">
                          <a:xfrm>
                            <a:off x="0" y="0"/>
                            <a:ext cx="2208388" cy="1417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3572">
              <w:t xml:space="preserve">Pagina </w:t>
            </w:r>
            <w:r w:rsidR="00103572">
              <w:rPr>
                <w:b/>
                <w:bCs/>
                <w:sz w:val="24"/>
                <w:szCs w:val="24"/>
              </w:rPr>
              <w:fldChar w:fldCharType="begin"/>
            </w:r>
            <w:r w:rsidR="00103572">
              <w:rPr>
                <w:b/>
                <w:bCs/>
              </w:rPr>
              <w:instrText>PAGE</w:instrText>
            </w:r>
            <w:r w:rsidR="00103572">
              <w:rPr>
                <w:b/>
                <w:bCs/>
                <w:sz w:val="24"/>
                <w:szCs w:val="24"/>
              </w:rPr>
              <w:fldChar w:fldCharType="separate"/>
            </w:r>
            <w:r w:rsidR="00103572">
              <w:rPr>
                <w:b/>
                <w:bCs/>
              </w:rPr>
              <w:t>2</w:t>
            </w:r>
            <w:r w:rsidR="00103572">
              <w:rPr>
                <w:b/>
                <w:bCs/>
                <w:sz w:val="24"/>
                <w:szCs w:val="24"/>
              </w:rPr>
              <w:fldChar w:fldCharType="end"/>
            </w:r>
            <w:r w:rsidR="00103572">
              <w:t xml:space="preserve"> van </w:t>
            </w:r>
            <w:r w:rsidR="00103572">
              <w:rPr>
                <w:b/>
                <w:bCs/>
                <w:sz w:val="24"/>
                <w:szCs w:val="24"/>
              </w:rPr>
              <w:fldChar w:fldCharType="begin"/>
            </w:r>
            <w:r w:rsidR="00103572">
              <w:rPr>
                <w:b/>
                <w:bCs/>
              </w:rPr>
              <w:instrText>NUMPAGES</w:instrText>
            </w:r>
            <w:r w:rsidR="00103572">
              <w:rPr>
                <w:b/>
                <w:bCs/>
                <w:sz w:val="24"/>
                <w:szCs w:val="24"/>
              </w:rPr>
              <w:fldChar w:fldCharType="separate"/>
            </w:r>
            <w:r w:rsidR="00103572">
              <w:rPr>
                <w:b/>
                <w:bCs/>
              </w:rPr>
              <w:t>2</w:t>
            </w:r>
            <w:r w:rsidR="00103572">
              <w:rPr>
                <w:b/>
                <w:bCs/>
                <w:sz w:val="24"/>
                <w:szCs w:val="24"/>
              </w:rPr>
              <w:fldChar w:fldCharType="end"/>
            </w:r>
          </w:p>
          <w:p w14:paraId="59D19548" w14:textId="77777777" w:rsidR="00103572" w:rsidRDefault="009919AF">
            <w:pPr>
              <w:pStyle w:val="Voettekst"/>
              <w:jc w:val="center"/>
            </w:pPr>
          </w:p>
        </w:sdtContent>
      </w:sdt>
    </w:sdtContent>
  </w:sdt>
  <w:p w14:paraId="5858D960" w14:textId="77777777" w:rsidR="006D037A" w:rsidRDefault="006D03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844016"/>
      <w:docPartObj>
        <w:docPartGallery w:val="Page Numbers (Bottom of Page)"/>
        <w:docPartUnique/>
      </w:docPartObj>
    </w:sdtPr>
    <w:sdtEndPr/>
    <w:sdtContent>
      <w:sdt>
        <w:sdtPr>
          <w:id w:val="1728636285"/>
          <w:docPartObj>
            <w:docPartGallery w:val="Page Numbers (Top of Page)"/>
            <w:docPartUnique/>
          </w:docPartObj>
        </w:sdtPr>
        <w:sdtEndPr/>
        <w:sdtContent>
          <w:p w14:paraId="4300B619" w14:textId="77777777" w:rsidR="005F2CA8" w:rsidRDefault="00DC0743" w:rsidP="00990979">
            <w:pPr>
              <w:pStyle w:val="Voettekst"/>
              <w:jc w:val="center"/>
              <w:rPr>
                <w:b/>
                <w:bCs/>
                <w:sz w:val="24"/>
                <w:szCs w:val="24"/>
              </w:rPr>
            </w:pPr>
            <w:r>
              <w:rPr>
                <w:noProof/>
              </w:rPr>
              <w:drawing>
                <wp:anchor distT="0" distB="0" distL="114300" distR="114300" simplePos="0" relativeHeight="251658242" behindDoc="1" locked="0" layoutInCell="1" allowOverlap="1" wp14:anchorId="3C375236" wp14:editId="3159BE4E">
                  <wp:simplePos x="0" y="0"/>
                  <wp:positionH relativeFrom="page">
                    <wp:align>right</wp:align>
                  </wp:positionH>
                  <wp:positionV relativeFrom="page">
                    <wp:align>bottom</wp:align>
                  </wp:positionV>
                  <wp:extent cx="2208388" cy="1417955"/>
                  <wp:effectExtent l="0" t="0" r="1905" b="0"/>
                  <wp:wrapNone/>
                  <wp:docPr id="28" name="Afbeelding 28" descr="Afbeelding met tekst, schermopname, Lettertype,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28" descr="Afbeelding met tekst, schermopname, Lettertype, visitekaartje&#10;&#10;Automatisch gegenereerde beschrijving"/>
                          <pic:cNvPicPr/>
                        </pic:nvPicPr>
                        <pic:blipFill rotWithShape="1">
                          <a:blip r:embed="rId1">
                            <a:extLst>
                              <a:ext uri="{28A0092B-C50C-407E-A947-70E740481C1C}">
                                <a14:useLocalDpi xmlns:a14="http://schemas.microsoft.com/office/drawing/2010/main" val="0"/>
                              </a:ext>
                            </a:extLst>
                          </a:blip>
                          <a:srcRect l="70779"/>
                          <a:stretch/>
                        </pic:blipFill>
                        <pic:spPr bwMode="auto">
                          <a:xfrm>
                            <a:off x="0" y="0"/>
                            <a:ext cx="2208388" cy="1417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2CA8">
              <w:t>P</w:t>
            </w:r>
            <w:r w:rsidR="00B2172E">
              <w:t xml:space="preserve">agina </w:t>
            </w:r>
            <w:r w:rsidR="00B2172E">
              <w:rPr>
                <w:b/>
                <w:bCs/>
                <w:sz w:val="24"/>
                <w:szCs w:val="24"/>
              </w:rPr>
              <w:fldChar w:fldCharType="begin"/>
            </w:r>
            <w:r w:rsidR="00B2172E">
              <w:rPr>
                <w:b/>
                <w:bCs/>
              </w:rPr>
              <w:instrText>PAGE</w:instrText>
            </w:r>
            <w:r w:rsidR="00B2172E">
              <w:rPr>
                <w:b/>
                <w:bCs/>
                <w:sz w:val="24"/>
                <w:szCs w:val="24"/>
              </w:rPr>
              <w:fldChar w:fldCharType="separate"/>
            </w:r>
            <w:r w:rsidR="00B2172E">
              <w:rPr>
                <w:b/>
                <w:bCs/>
              </w:rPr>
              <w:t>2</w:t>
            </w:r>
            <w:r w:rsidR="00B2172E">
              <w:rPr>
                <w:b/>
                <w:bCs/>
                <w:sz w:val="24"/>
                <w:szCs w:val="24"/>
              </w:rPr>
              <w:fldChar w:fldCharType="end"/>
            </w:r>
            <w:r w:rsidR="00B2172E">
              <w:t xml:space="preserve"> van </w:t>
            </w:r>
            <w:r w:rsidR="00B2172E">
              <w:rPr>
                <w:b/>
                <w:bCs/>
                <w:sz w:val="24"/>
                <w:szCs w:val="24"/>
              </w:rPr>
              <w:fldChar w:fldCharType="begin"/>
            </w:r>
            <w:r w:rsidR="00B2172E">
              <w:rPr>
                <w:b/>
                <w:bCs/>
              </w:rPr>
              <w:instrText>NUMPAGES</w:instrText>
            </w:r>
            <w:r w:rsidR="00B2172E">
              <w:rPr>
                <w:b/>
                <w:bCs/>
                <w:sz w:val="24"/>
                <w:szCs w:val="24"/>
              </w:rPr>
              <w:fldChar w:fldCharType="separate"/>
            </w:r>
            <w:r w:rsidR="00B2172E">
              <w:rPr>
                <w:b/>
                <w:bCs/>
              </w:rPr>
              <w:t>2</w:t>
            </w:r>
            <w:r w:rsidR="00B2172E">
              <w:rPr>
                <w:b/>
                <w:bCs/>
                <w:sz w:val="24"/>
                <w:szCs w:val="24"/>
              </w:rPr>
              <w:fldChar w:fldCharType="end"/>
            </w:r>
          </w:p>
          <w:p w14:paraId="0D56AF82" w14:textId="77777777" w:rsidR="00B2172E" w:rsidRDefault="009919AF" w:rsidP="00990979">
            <w:pPr>
              <w:pStyle w:val="Voettekst"/>
              <w:jc w:val="center"/>
            </w:pPr>
          </w:p>
        </w:sdtContent>
      </w:sdt>
    </w:sdtContent>
  </w:sdt>
  <w:p w14:paraId="5197BA35" w14:textId="77777777" w:rsidR="00B2172E" w:rsidRDefault="00B2172E" w:rsidP="005F2CA8">
    <w:pPr>
      <w:pStyle w:val="Voettekst"/>
      <w:pBdr>
        <w:top w:val="single" w:sz="4" w:space="5" w:color="FFFFFF" w:themeColor="background1"/>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71A0E" w14:textId="77777777" w:rsidR="00A937CD" w:rsidRDefault="00A937CD" w:rsidP="00887D99">
      <w:r>
        <w:separator/>
      </w:r>
    </w:p>
  </w:footnote>
  <w:footnote w:type="continuationSeparator" w:id="0">
    <w:p w14:paraId="2F2CD634" w14:textId="77777777" w:rsidR="00A937CD" w:rsidRDefault="00A937CD" w:rsidP="00887D99">
      <w:r>
        <w:continuationSeparator/>
      </w:r>
    </w:p>
  </w:footnote>
  <w:footnote w:type="continuationNotice" w:id="1">
    <w:p w14:paraId="4EE5009B" w14:textId="77777777" w:rsidR="00A937CD" w:rsidRDefault="00A937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ECD3" w14:textId="77777777" w:rsidR="00103572" w:rsidRPr="00B72E88" w:rsidRDefault="00103572">
    <w:pPr>
      <w:pStyle w:val="Koptekst"/>
      <w:rPr>
        <w:b/>
        <w:bCs/>
        <w:color w:val="auto"/>
        <w:sz w:val="24"/>
        <w:szCs w:val="24"/>
        <w:highlight w:val="black"/>
      </w:rPr>
    </w:pPr>
  </w:p>
  <w:p w14:paraId="3E761D7D" w14:textId="77777777" w:rsidR="00103572" w:rsidRPr="00B72E88" w:rsidRDefault="00103572">
    <w:pPr>
      <w:pStyle w:val="Koptekst"/>
      <w:rPr>
        <w:b/>
        <w:bCs/>
        <w:color w:val="auto"/>
        <w:sz w:val="24"/>
        <w:szCs w:val="24"/>
        <w:highlight w:val="black"/>
      </w:rPr>
    </w:pPr>
  </w:p>
  <w:p w14:paraId="54561F26" w14:textId="77777777" w:rsidR="00F30049" w:rsidRDefault="00103572">
    <w:pPr>
      <w:pStyle w:val="Koptekst"/>
    </w:pPr>
    <w:r w:rsidRPr="00B72E88">
      <w:rPr>
        <w:b/>
        <w:bCs/>
        <w:color w:val="auto"/>
        <w:sz w:val="24"/>
        <w:szCs w:val="24"/>
      </w:rPr>
      <w:tab/>
    </w:r>
    <w:r w:rsidRPr="00B72E88">
      <w:rPr>
        <w:b/>
        <w:bCs/>
        <w:color w:val="auto"/>
        <w:sz w:val="24"/>
        <w:szCs w:val="24"/>
      </w:rPr>
      <w:tab/>
    </w:r>
    <w:r w:rsidRPr="00871A64">
      <w:rPr>
        <w:b/>
        <w:bCs/>
        <w:color w:val="92D050"/>
        <w:sz w:val="24"/>
        <w:szCs w:val="24"/>
        <w:highlight w:val="black"/>
      </w:rPr>
      <w:t>TLP: GROEN</w:t>
    </w:r>
    <w:r>
      <w:rPr>
        <w:noProof/>
      </w:rPr>
      <w:t xml:space="preserve"> </w:t>
    </w:r>
    <w:r w:rsidR="00F30049">
      <w:rPr>
        <w:noProof/>
      </w:rPr>
      <w:drawing>
        <wp:anchor distT="0" distB="0" distL="114300" distR="114300" simplePos="0" relativeHeight="251658241" behindDoc="1" locked="0" layoutInCell="1" allowOverlap="1" wp14:anchorId="4B054FD7" wp14:editId="25D4BDC1">
          <wp:simplePos x="0" y="0"/>
          <wp:positionH relativeFrom="page">
            <wp:align>right</wp:align>
          </wp:positionH>
          <wp:positionV relativeFrom="page">
            <wp:align>top</wp:align>
          </wp:positionV>
          <wp:extent cx="1030605" cy="2407920"/>
          <wp:effectExtent l="0" t="0" r="0" b="0"/>
          <wp:wrapNone/>
          <wp:docPr id="1923027462" name="Afbeelding 1923027462" descr="Afbeelding met schets, tekst,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027462" name="Afbeelding 1923027462" descr="Afbeelding met schets, tekst, diagram, Lettertype&#10;&#10;Automatisch gegenereerde beschrijving"/>
                  <pic:cNvPicPr/>
                </pic:nvPicPr>
                <pic:blipFill rotWithShape="1">
                  <a:blip r:embed="rId1">
                    <a:extLst>
                      <a:ext uri="{28A0092B-C50C-407E-A947-70E740481C1C}">
                        <a14:useLocalDpi xmlns:a14="http://schemas.microsoft.com/office/drawing/2010/main" val="0"/>
                      </a:ext>
                    </a:extLst>
                  </a:blip>
                  <a:srcRect l="86365"/>
                  <a:stretch/>
                </pic:blipFill>
                <pic:spPr bwMode="auto">
                  <a:xfrm>
                    <a:off x="0" y="0"/>
                    <a:ext cx="1030605" cy="2407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FE59" w14:textId="77777777" w:rsidR="00F30049" w:rsidRDefault="004C071F" w:rsidP="00887D99">
    <w:pPr>
      <w:pStyle w:val="Koptekst"/>
    </w:pPr>
    <w:r>
      <w:rPr>
        <w:noProof/>
      </w:rPr>
      <w:drawing>
        <wp:anchor distT="0" distB="0" distL="114300" distR="114300" simplePos="0" relativeHeight="251658244" behindDoc="1" locked="0" layoutInCell="1" allowOverlap="1" wp14:anchorId="3C0A10F0" wp14:editId="693892CA">
          <wp:simplePos x="0" y="0"/>
          <wp:positionH relativeFrom="page">
            <wp:align>left</wp:align>
          </wp:positionH>
          <wp:positionV relativeFrom="page">
            <wp:align>top</wp:align>
          </wp:positionV>
          <wp:extent cx="2447925" cy="2407920"/>
          <wp:effectExtent l="0" t="0" r="9525" b="0"/>
          <wp:wrapNone/>
          <wp:docPr id="27" name="Afbeelding 27" descr="Afbeelding met schets, tekst,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descr="Afbeelding met schets, tekst, diagram, Lettertype&#10;&#10;Automatisch gegenereerde beschrijving"/>
                  <pic:cNvPicPr/>
                </pic:nvPicPr>
                <pic:blipFill rotWithShape="1">
                  <a:blip r:embed="rId1">
                    <a:extLst>
                      <a:ext uri="{28A0092B-C50C-407E-A947-70E740481C1C}">
                        <a14:useLocalDpi xmlns:a14="http://schemas.microsoft.com/office/drawing/2010/main" val="0"/>
                      </a:ext>
                    </a:extLst>
                  </a:blip>
                  <a:srcRect r="67614"/>
                  <a:stretch/>
                </pic:blipFill>
                <pic:spPr bwMode="auto">
                  <a:xfrm>
                    <a:off x="0" y="0"/>
                    <a:ext cx="2447925" cy="2407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1283BC" w14:textId="77777777" w:rsidR="00F30049" w:rsidRDefault="00F30049" w:rsidP="00887D99">
    <w:pPr>
      <w:pStyle w:val="Koptekst"/>
    </w:pPr>
  </w:p>
  <w:p w14:paraId="0A549040" w14:textId="77777777" w:rsidR="00F30049" w:rsidRPr="00871A64" w:rsidRDefault="00871A64" w:rsidP="00887D99">
    <w:pPr>
      <w:pStyle w:val="Koptekst"/>
      <w:rPr>
        <w:b/>
        <w:bCs/>
      </w:rPr>
    </w:pPr>
    <w:r>
      <w:tab/>
    </w:r>
    <w:r>
      <w:tab/>
    </w:r>
    <w:r w:rsidRPr="00871A64">
      <w:rPr>
        <w:b/>
        <w:bCs/>
        <w:color w:val="92D050"/>
        <w:sz w:val="24"/>
        <w:szCs w:val="24"/>
        <w:highlight w:val="black"/>
      </w:rPr>
      <w:t>TLP: GROEN</w:t>
    </w:r>
  </w:p>
  <w:p w14:paraId="692EAFA1" w14:textId="77777777" w:rsidR="00F30049" w:rsidRDefault="00F30049" w:rsidP="00887D99">
    <w:pPr>
      <w:pStyle w:val="Koptekst"/>
    </w:pPr>
  </w:p>
  <w:p w14:paraId="3F149F29" w14:textId="77777777" w:rsidR="00F30049" w:rsidRDefault="00F30049" w:rsidP="00887D99">
    <w:pPr>
      <w:pStyle w:val="Koptekst"/>
    </w:pPr>
  </w:p>
  <w:p w14:paraId="152AC269" w14:textId="77777777" w:rsidR="00F30049" w:rsidRDefault="00F30049" w:rsidP="00887D99">
    <w:pPr>
      <w:pStyle w:val="Koptekst"/>
    </w:pPr>
  </w:p>
  <w:p w14:paraId="2470F9CF" w14:textId="77777777" w:rsidR="00B921C1" w:rsidRDefault="000D4D65" w:rsidP="00887D99">
    <w:pPr>
      <w:pStyle w:val="Koptekst"/>
    </w:pPr>
    <w:r>
      <w:rPr>
        <w:noProof/>
      </w:rPr>
      <w:drawing>
        <wp:anchor distT="0" distB="0" distL="114300" distR="114300" simplePos="0" relativeHeight="251658240" behindDoc="1" locked="0" layoutInCell="1" allowOverlap="1" wp14:anchorId="3A6433CA" wp14:editId="31238F25">
          <wp:simplePos x="0" y="0"/>
          <wp:positionH relativeFrom="rightMargin">
            <wp:posOffset>31750</wp:posOffset>
          </wp:positionH>
          <wp:positionV relativeFrom="page">
            <wp:posOffset>0</wp:posOffset>
          </wp:positionV>
          <wp:extent cx="1030605" cy="240792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rotWithShape="1">
                  <a:blip r:embed="rId1">
                    <a:extLst>
                      <a:ext uri="{28A0092B-C50C-407E-A947-70E740481C1C}">
                        <a14:useLocalDpi xmlns:a14="http://schemas.microsoft.com/office/drawing/2010/main" val="0"/>
                      </a:ext>
                    </a:extLst>
                  </a:blip>
                  <a:srcRect l="86365"/>
                  <a:stretch/>
                </pic:blipFill>
                <pic:spPr bwMode="auto">
                  <a:xfrm>
                    <a:off x="0" y="0"/>
                    <a:ext cx="1030605" cy="2407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A3408"/>
    <w:multiLevelType w:val="hybridMultilevel"/>
    <w:tmpl w:val="8BB63A82"/>
    <w:lvl w:ilvl="0" w:tplc="FA7AC05C">
      <w:start w:val="1"/>
      <w:numFmt w:val="decimal"/>
      <w:lvlText w:val="%1."/>
      <w:lvlJc w:val="left"/>
      <w:pPr>
        <w:tabs>
          <w:tab w:val="num" w:pos="720"/>
        </w:tabs>
        <w:ind w:left="720" w:hanging="360"/>
      </w:pPr>
    </w:lvl>
    <w:lvl w:ilvl="1" w:tplc="FC6A08EE">
      <w:start w:val="1"/>
      <w:numFmt w:val="decimal"/>
      <w:lvlText w:val="%2."/>
      <w:lvlJc w:val="left"/>
      <w:pPr>
        <w:tabs>
          <w:tab w:val="num" w:pos="1440"/>
        </w:tabs>
        <w:ind w:left="1440" w:hanging="360"/>
      </w:pPr>
    </w:lvl>
    <w:lvl w:ilvl="2" w:tplc="11564DAA" w:tentative="1">
      <w:start w:val="1"/>
      <w:numFmt w:val="decimal"/>
      <w:lvlText w:val="%3."/>
      <w:lvlJc w:val="left"/>
      <w:pPr>
        <w:tabs>
          <w:tab w:val="num" w:pos="2160"/>
        </w:tabs>
        <w:ind w:left="2160" w:hanging="360"/>
      </w:pPr>
    </w:lvl>
    <w:lvl w:ilvl="3" w:tplc="0CBA8398" w:tentative="1">
      <w:start w:val="1"/>
      <w:numFmt w:val="decimal"/>
      <w:lvlText w:val="%4."/>
      <w:lvlJc w:val="left"/>
      <w:pPr>
        <w:tabs>
          <w:tab w:val="num" w:pos="2880"/>
        </w:tabs>
        <w:ind w:left="2880" w:hanging="360"/>
      </w:pPr>
    </w:lvl>
    <w:lvl w:ilvl="4" w:tplc="E5C08AA6" w:tentative="1">
      <w:start w:val="1"/>
      <w:numFmt w:val="decimal"/>
      <w:lvlText w:val="%5."/>
      <w:lvlJc w:val="left"/>
      <w:pPr>
        <w:tabs>
          <w:tab w:val="num" w:pos="3600"/>
        </w:tabs>
        <w:ind w:left="3600" w:hanging="360"/>
      </w:pPr>
    </w:lvl>
    <w:lvl w:ilvl="5" w:tplc="A7EA5FD4" w:tentative="1">
      <w:start w:val="1"/>
      <w:numFmt w:val="decimal"/>
      <w:lvlText w:val="%6."/>
      <w:lvlJc w:val="left"/>
      <w:pPr>
        <w:tabs>
          <w:tab w:val="num" w:pos="4320"/>
        </w:tabs>
        <w:ind w:left="4320" w:hanging="360"/>
      </w:pPr>
    </w:lvl>
    <w:lvl w:ilvl="6" w:tplc="A582ED00" w:tentative="1">
      <w:start w:val="1"/>
      <w:numFmt w:val="decimal"/>
      <w:lvlText w:val="%7."/>
      <w:lvlJc w:val="left"/>
      <w:pPr>
        <w:tabs>
          <w:tab w:val="num" w:pos="5040"/>
        </w:tabs>
        <w:ind w:left="5040" w:hanging="360"/>
      </w:pPr>
    </w:lvl>
    <w:lvl w:ilvl="7" w:tplc="D2A23766" w:tentative="1">
      <w:start w:val="1"/>
      <w:numFmt w:val="decimal"/>
      <w:lvlText w:val="%8."/>
      <w:lvlJc w:val="left"/>
      <w:pPr>
        <w:tabs>
          <w:tab w:val="num" w:pos="5760"/>
        </w:tabs>
        <w:ind w:left="5760" w:hanging="360"/>
      </w:pPr>
    </w:lvl>
    <w:lvl w:ilvl="8" w:tplc="8B863AAC" w:tentative="1">
      <w:start w:val="1"/>
      <w:numFmt w:val="decimal"/>
      <w:lvlText w:val="%9."/>
      <w:lvlJc w:val="left"/>
      <w:pPr>
        <w:tabs>
          <w:tab w:val="num" w:pos="6480"/>
        </w:tabs>
        <w:ind w:left="6480" w:hanging="360"/>
      </w:pPr>
    </w:lvl>
  </w:abstractNum>
  <w:abstractNum w:abstractNumId="1" w15:restartNumberingAfterBreak="0">
    <w:nsid w:val="5ECA2909"/>
    <w:multiLevelType w:val="hybridMultilevel"/>
    <w:tmpl w:val="67F47338"/>
    <w:lvl w:ilvl="0" w:tplc="0413000F">
      <w:start w:val="1"/>
      <w:numFmt w:val="decimal"/>
      <w:lvlText w:val="%1."/>
      <w:lvlJc w:val="left"/>
      <w:pPr>
        <w:tabs>
          <w:tab w:val="num" w:pos="360"/>
        </w:tabs>
        <w:ind w:left="360" w:hanging="360"/>
      </w:pPr>
      <w:rPr>
        <w:rFont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num w:numId="1" w16cid:durableId="710806772">
    <w:abstractNumId w:val="0"/>
  </w:num>
  <w:num w:numId="2" w16cid:durableId="2005356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0" w:nlCheck="1" w:checkStyle="0"/>
  <w:activeWritingStyle w:appName="MSWord" w:lang="en-US" w:vendorID="64" w:dllVersion="0" w:nlCheck="1" w:checkStyle="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B1"/>
    <w:rsid w:val="00017E81"/>
    <w:rsid w:val="000319CE"/>
    <w:rsid w:val="000361B0"/>
    <w:rsid w:val="00036352"/>
    <w:rsid w:val="00064E11"/>
    <w:rsid w:val="000758D7"/>
    <w:rsid w:val="00097CD4"/>
    <w:rsid w:val="000B7CDE"/>
    <w:rsid w:val="000D4D65"/>
    <w:rsid w:val="000D6BBD"/>
    <w:rsid w:val="00103572"/>
    <w:rsid w:val="0012375E"/>
    <w:rsid w:val="00157323"/>
    <w:rsid w:val="00163834"/>
    <w:rsid w:val="00166573"/>
    <w:rsid w:val="001719DE"/>
    <w:rsid w:val="001761D8"/>
    <w:rsid w:val="001F072E"/>
    <w:rsid w:val="00247547"/>
    <w:rsid w:val="00276BC8"/>
    <w:rsid w:val="00277D04"/>
    <w:rsid w:val="0029375F"/>
    <w:rsid w:val="0029483B"/>
    <w:rsid w:val="00295499"/>
    <w:rsid w:val="002C4AEF"/>
    <w:rsid w:val="00301949"/>
    <w:rsid w:val="00302663"/>
    <w:rsid w:val="00313579"/>
    <w:rsid w:val="0032097A"/>
    <w:rsid w:val="00321EC6"/>
    <w:rsid w:val="00331BB1"/>
    <w:rsid w:val="003519EA"/>
    <w:rsid w:val="00357A4F"/>
    <w:rsid w:val="003C1061"/>
    <w:rsid w:val="003E1732"/>
    <w:rsid w:val="003F051C"/>
    <w:rsid w:val="004013D1"/>
    <w:rsid w:val="004417CA"/>
    <w:rsid w:val="00483D3D"/>
    <w:rsid w:val="004B2EDB"/>
    <w:rsid w:val="004B7A94"/>
    <w:rsid w:val="004C071F"/>
    <w:rsid w:val="004C521C"/>
    <w:rsid w:val="004D0051"/>
    <w:rsid w:val="00517325"/>
    <w:rsid w:val="005221E1"/>
    <w:rsid w:val="0055796E"/>
    <w:rsid w:val="0056453E"/>
    <w:rsid w:val="005C7E37"/>
    <w:rsid w:val="005D60A9"/>
    <w:rsid w:val="005D64F5"/>
    <w:rsid w:val="005F2CA8"/>
    <w:rsid w:val="00613E04"/>
    <w:rsid w:val="00666297"/>
    <w:rsid w:val="00673D1E"/>
    <w:rsid w:val="00684066"/>
    <w:rsid w:val="006970D4"/>
    <w:rsid w:val="006B2B35"/>
    <w:rsid w:val="006D037A"/>
    <w:rsid w:val="006D6E53"/>
    <w:rsid w:val="0071209E"/>
    <w:rsid w:val="00723C2E"/>
    <w:rsid w:val="0073202C"/>
    <w:rsid w:val="0075659A"/>
    <w:rsid w:val="007D1663"/>
    <w:rsid w:val="007E061C"/>
    <w:rsid w:val="0083681E"/>
    <w:rsid w:val="00854E04"/>
    <w:rsid w:val="008639AC"/>
    <w:rsid w:val="00871A64"/>
    <w:rsid w:val="00873AAF"/>
    <w:rsid w:val="008743D0"/>
    <w:rsid w:val="008865D8"/>
    <w:rsid w:val="00887D99"/>
    <w:rsid w:val="008B61E7"/>
    <w:rsid w:val="0091137B"/>
    <w:rsid w:val="009379D4"/>
    <w:rsid w:val="0097718C"/>
    <w:rsid w:val="00980583"/>
    <w:rsid w:val="00990979"/>
    <w:rsid w:val="009919AF"/>
    <w:rsid w:val="009977A5"/>
    <w:rsid w:val="00A12D0B"/>
    <w:rsid w:val="00A20758"/>
    <w:rsid w:val="00A81D7B"/>
    <w:rsid w:val="00A937CD"/>
    <w:rsid w:val="00AD40E3"/>
    <w:rsid w:val="00B017C8"/>
    <w:rsid w:val="00B05372"/>
    <w:rsid w:val="00B2172E"/>
    <w:rsid w:val="00B63CFF"/>
    <w:rsid w:val="00B72E88"/>
    <w:rsid w:val="00B7681E"/>
    <w:rsid w:val="00B921C1"/>
    <w:rsid w:val="00BB4208"/>
    <w:rsid w:val="00BB50B2"/>
    <w:rsid w:val="00BC68FC"/>
    <w:rsid w:val="00BC7233"/>
    <w:rsid w:val="00C13E86"/>
    <w:rsid w:val="00C21F21"/>
    <w:rsid w:val="00C3156F"/>
    <w:rsid w:val="00C44A47"/>
    <w:rsid w:val="00C66393"/>
    <w:rsid w:val="00C837D6"/>
    <w:rsid w:val="00CA499C"/>
    <w:rsid w:val="00CB77BF"/>
    <w:rsid w:val="00CC3C95"/>
    <w:rsid w:val="00CE0A2A"/>
    <w:rsid w:val="00CE3BC8"/>
    <w:rsid w:val="00D4200D"/>
    <w:rsid w:val="00D458EE"/>
    <w:rsid w:val="00D87C39"/>
    <w:rsid w:val="00D965D4"/>
    <w:rsid w:val="00DC0743"/>
    <w:rsid w:val="00DE0157"/>
    <w:rsid w:val="00E05B0E"/>
    <w:rsid w:val="00E1195D"/>
    <w:rsid w:val="00E63224"/>
    <w:rsid w:val="00E643F8"/>
    <w:rsid w:val="00ED453D"/>
    <w:rsid w:val="00F221A0"/>
    <w:rsid w:val="00F30049"/>
    <w:rsid w:val="00F45970"/>
    <w:rsid w:val="00F616DA"/>
    <w:rsid w:val="00F844D5"/>
    <w:rsid w:val="00F94933"/>
    <w:rsid w:val="00FB23D8"/>
    <w:rsid w:val="00FD5D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CD495"/>
  <w15:chartTrackingRefBased/>
  <w15:docId w15:val="{BD61EF31-5097-4FB3-B142-B65801FF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ody tekst"/>
    <w:qFormat/>
    <w:rsid w:val="00097CD4"/>
    <w:pPr>
      <w:spacing w:line="276" w:lineRule="auto"/>
    </w:pPr>
    <w:rPr>
      <w:color w:val="000000" w:themeColor="text1"/>
      <w:sz w:val="22"/>
      <w:szCs w:val="22"/>
    </w:rPr>
  </w:style>
  <w:style w:type="paragraph" w:styleId="Kop1">
    <w:name w:val="heading 1"/>
    <w:basedOn w:val="Standaard"/>
    <w:next w:val="Standaard"/>
    <w:link w:val="Kop1Char"/>
    <w:uiPriority w:val="9"/>
    <w:qFormat/>
    <w:rsid w:val="00887D99"/>
    <w:pPr>
      <w:keepNext/>
      <w:keepLines/>
      <w:spacing w:before="240"/>
      <w:outlineLvl w:val="0"/>
    </w:pPr>
    <w:rPr>
      <w:rFonts w:asciiTheme="majorHAnsi" w:eastAsiaTheme="majorEastAsia" w:hAnsiTheme="majorHAnsi" w:cstheme="majorBidi"/>
      <w:b/>
      <w:bCs/>
      <w:color w:val="0A00A2"/>
      <w:sz w:val="36"/>
      <w:szCs w:val="36"/>
    </w:rPr>
  </w:style>
  <w:style w:type="paragraph" w:styleId="Kop2">
    <w:name w:val="heading 2"/>
    <w:basedOn w:val="Standaard"/>
    <w:next w:val="Standaard"/>
    <w:link w:val="Kop2Char"/>
    <w:uiPriority w:val="9"/>
    <w:unhideWhenUsed/>
    <w:qFormat/>
    <w:rsid w:val="00887D99"/>
    <w:pPr>
      <w:keepNext/>
      <w:keepLines/>
      <w:spacing w:before="40"/>
      <w:outlineLvl w:val="1"/>
    </w:pPr>
    <w:rPr>
      <w:rFonts w:asciiTheme="majorHAnsi" w:eastAsiaTheme="majorEastAsia" w:hAnsiTheme="majorHAnsi" w:cstheme="majorBidi"/>
      <w:color w:val="0A00A2"/>
      <w:sz w:val="32"/>
      <w:szCs w:val="32"/>
    </w:rPr>
  </w:style>
  <w:style w:type="paragraph" w:styleId="Kop3">
    <w:name w:val="heading 3"/>
    <w:aliases w:val="intro"/>
    <w:basedOn w:val="Standaard"/>
    <w:next w:val="Standaard"/>
    <w:link w:val="Kop3Char"/>
    <w:autoRedefine/>
    <w:uiPriority w:val="9"/>
    <w:unhideWhenUsed/>
    <w:qFormat/>
    <w:rsid w:val="00097CD4"/>
    <w:pPr>
      <w:keepNext/>
      <w:keepLines/>
      <w:spacing w:before="40"/>
      <w:outlineLvl w:val="2"/>
    </w:pPr>
    <w:rPr>
      <w:rFonts w:asciiTheme="majorHAnsi" w:eastAsiaTheme="majorEastAsia" w:hAnsiTheme="majorHAnsi" w:cstheme="majorBidi"/>
      <w:i/>
      <w:iCs/>
      <w:color w:val="0A00A2"/>
    </w:rPr>
  </w:style>
  <w:style w:type="paragraph" w:styleId="Kop4">
    <w:name w:val="heading 4"/>
    <w:aliases w:val="tussenkop 1"/>
    <w:basedOn w:val="Standaard"/>
    <w:next w:val="Standaard"/>
    <w:link w:val="Kop4Char"/>
    <w:autoRedefine/>
    <w:uiPriority w:val="9"/>
    <w:unhideWhenUsed/>
    <w:qFormat/>
    <w:rsid w:val="00097CD4"/>
    <w:pPr>
      <w:keepNext/>
      <w:keepLines/>
      <w:spacing w:before="40"/>
      <w:outlineLvl w:val="3"/>
    </w:pPr>
    <w:rPr>
      <w:rFonts w:asciiTheme="majorHAnsi" w:eastAsiaTheme="majorEastAsia" w:hAnsiTheme="majorHAnsi" w:cstheme="majorBidi"/>
      <w:b/>
      <w:iCs/>
      <w:sz w:val="24"/>
      <w:szCs w:val="24"/>
    </w:rPr>
  </w:style>
  <w:style w:type="paragraph" w:styleId="Kop5">
    <w:name w:val="heading 5"/>
    <w:aliases w:val="Tussenkop 2"/>
    <w:basedOn w:val="Standaard"/>
    <w:next w:val="Standaard"/>
    <w:link w:val="Kop5Char"/>
    <w:uiPriority w:val="9"/>
    <w:unhideWhenUsed/>
    <w:qFormat/>
    <w:rsid w:val="00097CD4"/>
    <w:pPr>
      <w:keepNext/>
      <w:keepLines/>
      <w:spacing w:before="40"/>
      <w:outlineLvl w:val="4"/>
    </w:pPr>
    <w:rPr>
      <w:rFonts w:asciiTheme="majorHAnsi" w:eastAsiaTheme="majorEastAsia" w:hAnsiTheme="majorHAnsi"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2D0B"/>
    <w:pPr>
      <w:tabs>
        <w:tab w:val="center" w:pos="4536"/>
        <w:tab w:val="right" w:pos="9072"/>
      </w:tabs>
    </w:pPr>
  </w:style>
  <w:style w:type="character" w:customStyle="1" w:styleId="KoptekstChar">
    <w:name w:val="Koptekst Char"/>
    <w:basedOn w:val="Standaardalinea-lettertype"/>
    <w:link w:val="Koptekst"/>
    <w:uiPriority w:val="99"/>
    <w:rsid w:val="00A12D0B"/>
  </w:style>
  <w:style w:type="paragraph" w:styleId="Voettekst">
    <w:name w:val="footer"/>
    <w:basedOn w:val="Standaard"/>
    <w:link w:val="VoettekstChar"/>
    <w:uiPriority w:val="99"/>
    <w:unhideWhenUsed/>
    <w:rsid w:val="00A12D0B"/>
    <w:pPr>
      <w:tabs>
        <w:tab w:val="center" w:pos="4536"/>
        <w:tab w:val="right" w:pos="9072"/>
      </w:tabs>
    </w:pPr>
  </w:style>
  <w:style w:type="character" w:customStyle="1" w:styleId="VoettekstChar">
    <w:name w:val="Voettekst Char"/>
    <w:basedOn w:val="Standaardalinea-lettertype"/>
    <w:link w:val="Voettekst"/>
    <w:uiPriority w:val="99"/>
    <w:rsid w:val="00A12D0B"/>
  </w:style>
  <w:style w:type="paragraph" w:customStyle="1" w:styleId="Basisalinea">
    <w:name w:val="[Basisalinea]"/>
    <w:basedOn w:val="Standaard"/>
    <w:uiPriority w:val="99"/>
    <w:rsid w:val="00673D1E"/>
    <w:pPr>
      <w:autoSpaceDE w:val="0"/>
      <w:autoSpaceDN w:val="0"/>
      <w:adjustRightInd w:val="0"/>
      <w:spacing w:line="288" w:lineRule="auto"/>
      <w:textAlignment w:val="center"/>
    </w:pPr>
    <w:rPr>
      <w:rFonts w:ascii="Minion Pro" w:hAnsi="Minion Pro" w:cs="Minion Pro"/>
      <w:color w:val="000000"/>
    </w:rPr>
  </w:style>
  <w:style w:type="paragraph" w:customStyle="1" w:styleId="artstyleparagraph">
    <w:name w:val="artstyle__paragraph"/>
    <w:basedOn w:val="Standaard"/>
    <w:rsid w:val="000319CE"/>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0319CE"/>
  </w:style>
  <w:style w:type="character" w:customStyle="1" w:styleId="Kop1Char">
    <w:name w:val="Kop 1 Char"/>
    <w:basedOn w:val="Standaardalinea-lettertype"/>
    <w:link w:val="Kop1"/>
    <w:uiPriority w:val="9"/>
    <w:rsid w:val="00887D99"/>
    <w:rPr>
      <w:rFonts w:asciiTheme="majorHAnsi" w:eastAsiaTheme="majorEastAsia" w:hAnsiTheme="majorHAnsi" w:cstheme="majorBidi"/>
      <w:b/>
      <w:bCs/>
      <w:color w:val="0A00A2"/>
      <w:sz w:val="36"/>
      <w:szCs w:val="36"/>
    </w:rPr>
  </w:style>
  <w:style w:type="character" w:customStyle="1" w:styleId="Kop2Char">
    <w:name w:val="Kop 2 Char"/>
    <w:basedOn w:val="Standaardalinea-lettertype"/>
    <w:link w:val="Kop2"/>
    <w:uiPriority w:val="9"/>
    <w:rsid w:val="00887D99"/>
    <w:rPr>
      <w:rFonts w:asciiTheme="majorHAnsi" w:eastAsiaTheme="majorEastAsia" w:hAnsiTheme="majorHAnsi" w:cstheme="majorBidi"/>
      <w:color w:val="0A00A2"/>
      <w:sz w:val="32"/>
      <w:szCs w:val="32"/>
    </w:rPr>
  </w:style>
  <w:style w:type="character" w:customStyle="1" w:styleId="Kop3Char">
    <w:name w:val="Kop 3 Char"/>
    <w:aliases w:val="intro Char"/>
    <w:basedOn w:val="Standaardalinea-lettertype"/>
    <w:link w:val="Kop3"/>
    <w:uiPriority w:val="9"/>
    <w:rsid w:val="00097CD4"/>
    <w:rPr>
      <w:rFonts w:asciiTheme="majorHAnsi" w:eastAsiaTheme="majorEastAsia" w:hAnsiTheme="majorHAnsi" w:cstheme="majorBidi"/>
      <w:i/>
      <w:iCs/>
      <w:color w:val="0A00A2"/>
      <w:sz w:val="22"/>
      <w:szCs w:val="22"/>
    </w:rPr>
  </w:style>
  <w:style w:type="character" w:customStyle="1" w:styleId="Kop4Char">
    <w:name w:val="Kop 4 Char"/>
    <w:aliases w:val="tussenkop 1 Char"/>
    <w:basedOn w:val="Standaardalinea-lettertype"/>
    <w:link w:val="Kop4"/>
    <w:uiPriority w:val="9"/>
    <w:rsid w:val="00097CD4"/>
    <w:rPr>
      <w:rFonts w:asciiTheme="majorHAnsi" w:eastAsiaTheme="majorEastAsia" w:hAnsiTheme="majorHAnsi" w:cstheme="majorBidi"/>
      <w:b/>
      <w:iCs/>
      <w:color w:val="000000" w:themeColor="text1"/>
    </w:rPr>
  </w:style>
  <w:style w:type="character" w:customStyle="1" w:styleId="Kop5Char">
    <w:name w:val="Kop 5 Char"/>
    <w:aliases w:val="Tussenkop 2 Char"/>
    <w:basedOn w:val="Standaardalinea-lettertype"/>
    <w:link w:val="Kop5"/>
    <w:uiPriority w:val="9"/>
    <w:rsid w:val="00097CD4"/>
    <w:rPr>
      <w:rFonts w:asciiTheme="majorHAnsi" w:eastAsiaTheme="majorEastAsia" w:hAnsiTheme="majorHAnsi" w:cstheme="majorBidi"/>
      <w:color w:val="000000" w:themeColor="text1"/>
    </w:rPr>
  </w:style>
  <w:style w:type="paragraph" w:styleId="Titel">
    <w:name w:val="Title"/>
    <w:basedOn w:val="Standaard"/>
    <w:next w:val="Standaard"/>
    <w:link w:val="TitelChar"/>
    <w:uiPriority w:val="10"/>
    <w:rsid w:val="00097CD4"/>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097C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097CD4"/>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097CD4"/>
    <w:rPr>
      <w:rFonts w:eastAsiaTheme="minorEastAsia"/>
      <w:color w:val="5A5A5A" w:themeColor="text1" w:themeTint="A5"/>
      <w:spacing w:val="15"/>
      <w:sz w:val="22"/>
      <w:szCs w:val="22"/>
    </w:rPr>
  </w:style>
  <w:style w:type="character" w:styleId="Subtielebenadrukking">
    <w:name w:val="Subtle Emphasis"/>
    <w:basedOn w:val="Standaardalinea-lettertype"/>
    <w:uiPriority w:val="19"/>
    <w:rsid w:val="00097CD4"/>
    <w:rPr>
      <w:i/>
      <w:iCs/>
      <w:color w:val="404040" w:themeColor="text1" w:themeTint="BF"/>
    </w:rPr>
  </w:style>
  <w:style w:type="character" w:styleId="Nadruk">
    <w:name w:val="Emphasis"/>
    <w:aliases w:val="streamer"/>
    <w:basedOn w:val="Standaardalinea-lettertype"/>
    <w:uiPriority w:val="20"/>
    <w:qFormat/>
    <w:rsid w:val="00097CD4"/>
    <w:rPr>
      <w:i/>
      <w:iCs/>
    </w:rPr>
  </w:style>
  <w:style w:type="paragraph" w:styleId="Lijstalinea">
    <w:name w:val="List Paragraph"/>
    <w:basedOn w:val="Standaard"/>
    <w:uiPriority w:val="34"/>
    <w:rsid w:val="00097CD4"/>
    <w:pPr>
      <w:ind w:left="720"/>
      <w:contextualSpacing/>
    </w:pPr>
  </w:style>
  <w:style w:type="paragraph" w:styleId="Voetnoottekst">
    <w:name w:val="footnote text"/>
    <w:basedOn w:val="Standaard"/>
    <w:link w:val="VoetnoottekstChar"/>
    <w:uiPriority w:val="99"/>
    <w:semiHidden/>
    <w:unhideWhenUsed/>
    <w:rsid w:val="00097CD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97CD4"/>
    <w:rPr>
      <w:color w:val="000000" w:themeColor="text1"/>
      <w:sz w:val="20"/>
      <w:szCs w:val="20"/>
    </w:rPr>
  </w:style>
  <w:style w:type="character" w:styleId="Voetnootmarkering">
    <w:name w:val="footnote reference"/>
    <w:basedOn w:val="Standaardalinea-lettertype"/>
    <w:uiPriority w:val="99"/>
    <w:semiHidden/>
    <w:unhideWhenUsed/>
    <w:rsid w:val="00097CD4"/>
    <w:rPr>
      <w:vertAlign w:val="superscript"/>
    </w:rPr>
  </w:style>
  <w:style w:type="table" w:styleId="Tabelraster">
    <w:name w:val="Table Grid"/>
    <w:basedOn w:val="Standaardtabel"/>
    <w:uiPriority w:val="59"/>
    <w:rsid w:val="00357A4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6840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alweb">
    <w:name w:val="Normal (Web)"/>
    <w:basedOn w:val="Standaard"/>
    <w:uiPriority w:val="99"/>
    <w:unhideWhenUsed/>
    <w:rsid w:val="00301949"/>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styleId="Hyperlink">
    <w:name w:val="Hyperlink"/>
    <w:basedOn w:val="Standaardalinea-lettertype"/>
    <w:uiPriority w:val="99"/>
    <w:semiHidden/>
    <w:unhideWhenUsed/>
    <w:rsid w:val="003019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11910">
      <w:bodyDiv w:val="1"/>
      <w:marLeft w:val="0"/>
      <w:marRight w:val="0"/>
      <w:marTop w:val="0"/>
      <w:marBottom w:val="0"/>
      <w:divBdr>
        <w:top w:val="none" w:sz="0" w:space="0" w:color="auto"/>
        <w:left w:val="none" w:sz="0" w:space="0" w:color="auto"/>
        <w:bottom w:val="none" w:sz="0" w:space="0" w:color="auto"/>
        <w:right w:val="none" w:sz="0" w:space="0" w:color="auto"/>
      </w:divBdr>
    </w:div>
    <w:div w:id="17898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s\BAS%20B.V\00%20BAS%20Bureau%20-%20General\04%20Templates%20en%20processen%20BAS\02%20BAS%20templates\AL%2001%20Notitie%20sjabloon.dotx" TargetMode="External"/></Relationships>
</file>

<file path=word/theme/theme1.xml><?xml version="1.0" encoding="utf-8"?>
<a:theme xmlns:a="http://schemas.openxmlformats.org/drawingml/2006/main" name="Kantoorthema">
  <a:themeElements>
    <a:clrScheme name="MFFBAS">
      <a:dk1>
        <a:srgbClr val="000000"/>
      </a:dk1>
      <a:lt1>
        <a:srgbClr val="FFFFFF"/>
      </a:lt1>
      <a:dk2>
        <a:srgbClr val="44546A"/>
      </a:dk2>
      <a:lt2>
        <a:srgbClr val="E7E6E6"/>
      </a:lt2>
      <a:accent1>
        <a:srgbClr val="0A00A2"/>
      </a:accent1>
      <a:accent2>
        <a:srgbClr val="8CC63F"/>
      </a:accent2>
      <a:accent3>
        <a:srgbClr val="E8E63C"/>
      </a:accent3>
      <a:accent4>
        <a:srgbClr val="41A2E6"/>
      </a:accent4>
      <a:accent5>
        <a:srgbClr val="874B90"/>
      </a:accent5>
      <a:accent6>
        <a:srgbClr val="E6E6E6"/>
      </a:accent6>
      <a:hlink>
        <a:srgbClr val="0A00A2"/>
      </a:hlink>
      <a:folHlink>
        <a:srgbClr val="874B9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Create a new document." ma:contentTypeScope="" ma:versionID="20e45eb30155907ae8b541c16a487d53">
  <xsd:schema xmlns:xsd="http://www.w3.org/2001/XMLSchema" xmlns:xs="http://www.w3.org/2001/XMLSchema" xmlns:p="http://schemas.microsoft.com/office/2006/metadata/properties" xmlns:ns2="28a68a4d-228e-49b4-bd64-f059bd770b71" targetNamespace="http://schemas.microsoft.com/office/2006/metadata/properties" ma:root="true" ma:fieldsID="da28dd4b467116d3e52260c584ebd2de"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CEB2B-5B2F-44E8-86A4-2C63159B990B}">
  <ds:schemaRefs>
    <ds:schemaRef ds:uri="http://schemas.microsoft.com/office/2006/metadata/properties"/>
    <ds:schemaRef ds:uri="http://schemas.microsoft.com/office/infopath/2007/PartnerControls"/>
    <ds:schemaRef ds:uri="5f374908-5936-441c-a640-6ee52fa1ffbe"/>
    <ds:schemaRef ds:uri="660477a7-6256-481e-960c-267af7490603"/>
  </ds:schemaRefs>
</ds:datastoreItem>
</file>

<file path=customXml/itemProps2.xml><?xml version="1.0" encoding="utf-8"?>
<ds:datastoreItem xmlns:ds="http://schemas.openxmlformats.org/officeDocument/2006/customXml" ds:itemID="{8800E0F1-5A3D-4840-9160-D205D0B31685}">
  <ds:schemaRefs>
    <ds:schemaRef ds:uri="http://schemas.microsoft.com/sharepoint/v3/contenttype/forms"/>
  </ds:schemaRefs>
</ds:datastoreItem>
</file>

<file path=customXml/itemProps3.xml><?xml version="1.0" encoding="utf-8"?>
<ds:datastoreItem xmlns:ds="http://schemas.openxmlformats.org/officeDocument/2006/customXml" ds:itemID="{018D22C5-9E44-4D52-8F20-D7B09F70D135}"/>
</file>

<file path=docProps/app.xml><?xml version="1.0" encoding="utf-8"?>
<Properties xmlns="http://schemas.openxmlformats.org/officeDocument/2006/extended-properties" xmlns:vt="http://schemas.openxmlformats.org/officeDocument/2006/docPropsVTypes">
  <Template>AL 01 Notitie sjabloon</Template>
  <TotalTime>1</TotalTime>
  <Pages>4</Pages>
  <Words>737</Words>
  <Characters>4057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Sulkers</dc:creator>
  <cp:keywords/>
  <dc:description/>
  <cp:lastModifiedBy>Mirjam van der Horst | MFF BAS</cp:lastModifiedBy>
  <cp:revision>2</cp:revision>
  <dcterms:created xsi:type="dcterms:W3CDTF">2024-04-30T07:40:00Z</dcterms:created>
  <dcterms:modified xsi:type="dcterms:W3CDTF">2024-04-30T07:40:00Z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0x010100C0C91830ED340E4FB1005DCFC6E51CF5</vt:lpwstr>
  </property>
  <property fmtid="{D5CDD505-2E9C-101B-9397-08002B2CF9AE}" pid="3" name="MediaServiceImageTags">
    <vt:lpwstr/>
  </property>
</Properties>
</file>