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F4674" w14:textId="14320C60" w:rsidR="00BC1508" w:rsidRDefault="001714D6">
      <w:pPr>
        <w:rPr>
          <w:b/>
          <w:bCs/>
          <w:sz w:val="40"/>
          <w:szCs w:val="40"/>
        </w:rPr>
      </w:pPr>
      <w:r>
        <w:rPr>
          <w:b/>
          <w:sz w:val="40"/>
        </w:rPr>
        <w:t xml:space="preserve">Q&amp;A 1st information session Tranche 2 </w:t>
      </w:r>
    </w:p>
    <w:p w14:paraId="7D208370" w14:textId="111B86F6" w:rsidR="002F5144" w:rsidRPr="002F5144" w:rsidRDefault="002F5144">
      <w:pPr>
        <w:rPr>
          <w:b/>
          <w:bCs/>
          <w:sz w:val="32"/>
          <w:szCs w:val="32"/>
        </w:rPr>
      </w:pPr>
      <w:r>
        <w:rPr>
          <w:b/>
          <w:sz w:val="32"/>
        </w:rPr>
        <w:t>NEDU - 8 Ma</w:t>
      </w:r>
      <w:r w:rsidR="00FB7290">
        <w:rPr>
          <w:b/>
          <w:sz w:val="32"/>
        </w:rPr>
        <w:t>r</w:t>
      </w:r>
      <w:r>
        <w:rPr>
          <w:b/>
          <w:sz w:val="32"/>
        </w:rPr>
        <w:t>ch 2022</w:t>
      </w:r>
    </w:p>
    <w:p w14:paraId="174D039E" w14:textId="77777777" w:rsidR="002F5144" w:rsidRDefault="002F5144">
      <w:pPr>
        <w:rPr>
          <w:rFonts w:cstheme="minorHAnsi"/>
          <w:b/>
          <w:bCs/>
          <w:sz w:val="24"/>
          <w:szCs w:val="24"/>
          <w:lang w:val="nl-NL"/>
        </w:rPr>
      </w:pPr>
    </w:p>
    <w:p w14:paraId="26012604" w14:textId="4D7ECC50" w:rsidR="009F5B1E" w:rsidRPr="002F5144" w:rsidRDefault="006E0AB3" w:rsidP="002F5144">
      <w:pPr>
        <w:pStyle w:val="Lijstalinea"/>
        <w:numPr>
          <w:ilvl w:val="0"/>
          <w:numId w:val="2"/>
        </w:numPr>
        <w:rPr>
          <w:rFonts w:cstheme="minorHAnsi"/>
          <w:b/>
          <w:bCs/>
          <w:sz w:val="24"/>
          <w:szCs w:val="24"/>
        </w:rPr>
      </w:pPr>
      <w:r>
        <w:rPr>
          <w:b/>
          <w:sz w:val="24"/>
        </w:rPr>
        <w:t>What does MFF and BAS stand for?</w:t>
      </w:r>
    </w:p>
    <w:p w14:paraId="16802D4A" w14:textId="46323BB8" w:rsidR="006E0AB3" w:rsidRPr="00D35047" w:rsidRDefault="00FB7290">
      <w:pPr>
        <w:rPr>
          <w:rFonts w:cstheme="minorHAnsi"/>
          <w:sz w:val="24"/>
          <w:szCs w:val="24"/>
        </w:rPr>
      </w:pPr>
      <w:r>
        <w:rPr>
          <w:sz w:val="24"/>
        </w:rPr>
        <w:t xml:space="preserve">MFF stands for </w:t>
      </w:r>
      <w:r w:rsidR="006E0AB3">
        <w:rPr>
          <w:sz w:val="24"/>
        </w:rPr>
        <w:t xml:space="preserve">Market Facilitation Forum and </w:t>
      </w:r>
      <w:r w:rsidR="001728C6">
        <w:rPr>
          <w:sz w:val="24"/>
        </w:rPr>
        <w:t>BAS for ‘</w:t>
      </w:r>
      <w:proofErr w:type="spellStart"/>
      <w:r w:rsidR="001728C6">
        <w:rPr>
          <w:sz w:val="24"/>
        </w:rPr>
        <w:t>Beheerder</w:t>
      </w:r>
      <w:proofErr w:type="spellEnd"/>
      <w:r w:rsidR="001728C6">
        <w:rPr>
          <w:sz w:val="24"/>
        </w:rPr>
        <w:t xml:space="preserve"> </w:t>
      </w:r>
      <w:proofErr w:type="spellStart"/>
      <w:r w:rsidR="001728C6">
        <w:rPr>
          <w:sz w:val="24"/>
        </w:rPr>
        <w:t>Afsprakenstelsel</w:t>
      </w:r>
      <w:proofErr w:type="spellEnd"/>
      <w:r w:rsidR="001728C6">
        <w:rPr>
          <w:sz w:val="24"/>
        </w:rPr>
        <w:t xml:space="preserve">’, which means </w:t>
      </w:r>
      <w:r w:rsidR="00B74D93">
        <w:rPr>
          <w:sz w:val="24"/>
        </w:rPr>
        <w:t>‘</w:t>
      </w:r>
      <w:r w:rsidR="006E0AB3">
        <w:rPr>
          <w:sz w:val="24"/>
        </w:rPr>
        <w:t>Operator Agreement System</w:t>
      </w:r>
      <w:r w:rsidR="00B74D93">
        <w:rPr>
          <w:sz w:val="24"/>
        </w:rPr>
        <w:t>’</w:t>
      </w:r>
      <w:r w:rsidR="006E0AB3">
        <w:rPr>
          <w:sz w:val="24"/>
        </w:rPr>
        <w:t xml:space="preserve"> (see </w:t>
      </w:r>
      <w:hyperlink r:id="rId8" w:history="1">
        <w:r w:rsidR="006E0AB3">
          <w:rPr>
            <w:rStyle w:val="Hyperlink"/>
            <w:sz w:val="24"/>
          </w:rPr>
          <w:t>www.mffbas.nl</w:t>
        </w:r>
      </w:hyperlink>
      <w:r w:rsidR="006E0AB3">
        <w:rPr>
          <w:sz w:val="24"/>
        </w:rPr>
        <w:t>)</w:t>
      </w:r>
      <w:r w:rsidR="001728C6">
        <w:rPr>
          <w:sz w:val="24"/>
        </w:rPr>
        <w:t>.</w:t>
      </w:r>
    </w:p>
    <w:p w14:paraId="325E2FFF" w14:textId="77777777" w:rsidR="00704E92" w:rsidRPr="003D0E3E" w:rsidRDefault="00704E92">
      <w:pPr>
        <w:rPr>
          <w:rFonts w:cstheme="minorHAnsi"/>
          <w:b/>
          <w:bCs/>
          <w:sz w:val="24"/>
          <w:szCs w:val="24"/>
          <w:lang w:val="en-US"/>
        </w:rPr>
      </w:pPr>
    </w:p>
    <w:p w14:paraId="3EF1E967" w14:textId="2C440B79" w:rsidR="00704E92" w:rsidRPr="002F5144" w:rsidRDefault="00696F75" w:rsidP="002F5144">
      <w:pPr>
        <w:pStyle w:val="Lijstalinea"/>
        <w:numPr>
          <w:ilvl w:val="0"/>
          <w:numId w:val="2"/>
        </w:numPr>
        <w:rPr>
          <w:rFonts w:cstheme="minorHAnsi"/>
          <w:b/>
          <w:bCs/>
          <w:sz w:val="24"/>
          <w:szCs w:val="24"/>
        </w:rPr>
      </w:pPr>
      <w:r>
        <w:rPr>
          <w:b/>
          <w:sz w:val="24"/>
        </w:rPr>
        <w:t xml:space="preserve">How soon is </w:t>
      </w:r>
      <w:r w:rsidR="00B914B4">
        <w:rPr>
          <w:b/>
          <w:sz w:val="24"/>
        </w:rPr>
        <w:t>‘</w:t>
      </w:r>
      <w:r>
        <w:rPr>
          <w:b/>
          <w:sz w:val="24"/>
        </w:rPr>
        <w:t>afterwards</w:t>
      </w:r>
      <w:r w:rsidR="00B914B4">
        <w:rPr>
          <w:b/>
          <w:sz w:val="24"/>
        </w:rPr>
        <w:t>’</w:t>
      </w:r>
      <w:r>
        <w:rPr>
          <w:b/>
          <w:sz w:val="24"/>
        </w:rPr>
        <w:t xml:space="preserve"> when determining profile fractions?</w:t>
      </w:r>
    </w:p>
    <w:p w14:paraId="694B828B" w14:textId="25956ED0" w:rsidR="00696F75" w:rsidRPr="00D35047" w:rsidRDefault="00307C2D" w:rsidP="00CB6767">
      <w:pPr>
        <w:rPr>
          <w:rFonts w:cstheme="minorHAnsi"/>
          <w:sz w:val="24"/>
          <w:szCs w:val="24"/>
        </w:rPr>
      </w:pPr>
      <w:r>
        <w:rPr>
          <w:sz w:val="24"/>
        </w:rPr>
        <w:t xml:space="preserve">Dynamic profile fractions will be determined and be available for collection via the designated API before 10.00 on the second calendar day following a measurement day. </w:t>
      </w:r>
    </w:p>
    <w:p w14:paraId="12E1367B" w14:textId="77777777" w:rsidR="009C39C2" w:rsidRPr="003D0E3E" w:rsidRDefault="009C39C2" w:rsidP="009C39C2">
      <w:pPr>
        <w:rPr>
          <w:rFonts w:cstheme="minorHAnsi"/>
          <w:b/>
          <w:bCs/>
          <w:sz w:val="24"/>
          <w:szCs w:val="24"/>
          <w:lang w:val="en-US"/>
        </w:rPr>
      </w:pPr>
    </w:p>
    <w:p w14:paraId="345B7FE6" w14:textId="630D4C9D" w:rsidR="009C39C2" w:rsidRPr="002F5144" w:rsidRDefault="00E9296C" w:rsidP="002F5144">
      <w:pPr>
        <w:pStyle w:val="Lijstalinea"/>
        <w:numPr>
          <w:ilvl w:val="0"/>
          <w:numId w:val="2"/>
        </w:numPr>
        <w:rPr>
          <w:rFonts w:cstheme="minorHAnsi"/>
          <w:b/>
          <w:bCs/>
          <w:sz w:val="24"/>
          <w:szCs w:val="24"/>
        </w:rPr>
      </w:pPr>
      <w:r>
        <w:rPr>
          <w:b/>
          <w:sz w:val="24"/>
        </w:rPr>
        <w:t>Does the supplier role also not have an impact when it comes to validating and estimating readings using the new dynamic profile fractions?</w:t>
      </w:r>
    </w:p>
    <w:p w14:paraId="214EFDC1" w14:textId="2BDA2868" w:rsidR="005317F8" w:rsidRPr="00D35047" w:rsidRDefault="00FC47A3" w:rsidP="009C39C2">
      <w:pPr>
        <w:rPr>
          <w:rFonts w:cstheme="minorHAnsi"/>
          <w:sz w:val="24"/>
          <w:szCs w:val="24"/>
        </w:rPr>
      </w:pPr>
      <w:r>
        <w:rPr>
          <w:sz w:val="24"/>
        </w:rPr>
        <w:t>Yes, the supplier must also use dynamic profile fractions when validating/calculating meter readings for small consumer allocation points. The suppliers must thus also collect the dynamic profile fractions via the designated API.</w:t>
      </w:r>
    </w:p>
    <w:p w14:paraId="6593F4FD" w14:textId="77777777" w:rsidR="0023494B" w:rsidRPr="003D0E3E" w:rsidRDefault="0023494B" w:rsidP="009C39C2">
      <w:pPr>
        <w:rPr>
          <w:rFonts w:cstheme="minorHAnsi"/>
          <w:b/>
          <w:bCs/>
          <w:sz w:val="24"/>
          <w:szCs w:val="24"/>
          <w:lang w:val="en-US"/>
        </w:rPr>
      </w:pPr>
    </w:p>
    <w:p w14:paraId="67021CF7" w14:textId="133468B3" w:rsidR="005317F8" w:rsidRPr="002F5144" w:rsidRDefault="005317F8" w:rsidP="002F5144">
      <w:pPr>
        <w:pStyle w:val="Lijstalinea"/>
        <w:numPr>
          <w:ilvl w:val="0"/>
          <w:numId w:val="2"/>
        </w:numPr>
        <w:rPr>
          <w:rFonts w:cstheme="minorHAnsi"/>
          <w:b/>
          <w:bCs/>
          <w:sz w:val="24"/>
          <w:szCs w:val="24"/>
        </w:rPr>
      </w:pPr>
      <w:r>
        <w:rPr>
          <w:b/>
          <w:sz w:val="24"/>
        </w:rPr>
        <w:t>Not only the PRF connections are in scope</w:t>
      </w:r>
      <w:r w:rsidR="001728C6">
        <w:rPr>
          <w:b/>
          <w:sz w:val="24"/>
        </w:rPr>
        <w:t>,</w:t>
      </w:r>
      <w:r>
        <w:rPr>
          <w:b/>
          <w:sz w:val="24"/>
        </w:rPr>
        <w:t xml:space="preserve"> are they? Will TMT-measured connections still be allocated a </w:t>
      </w:r>
      <w:r w:rsidR="00B914B4">
        <w:rPr>
          <w:b/>
          <w:sz w:val="24"/>
        </w:rPr>
        <w:t>‘</w:t>
      </w:r>
      <w:r>
        <w:rPr>
          <w:b/>
          <w:sz w:val="24"/>
        </w:rPr>
        <w:t>supply</w:t>
      </w:r>
      <w:r w:rsidR="00B914B4">
        <w:rPr>
          <w:b/>
          <w:sz w:val="24"/>
        </w:rPr>
        <w:t>’</w:t>
      </w:r>
      <w:r>
        <w:rPr>
          <w:b/>
          <w:sz w:val="24"/>
        </w:rPr>
        <w:t xml:space="preserve"> as well a </w:t>
      </w:r>
      <w:r w:rsidR="00B914B4">
        <w:rPr>
          <w:b/>
          <w:sz w:val="24"/>
        </w:rPr>
        <w:t>‘</w:t>
      </w:r>
      <w:r>
        <w:rPr>
          <w:b/>
          <w:sz w:val="24"/>
        </w:rPr>
        <w:t>re-supply</w:t>
      </w:r>
      <w:r w:rsidR="00B914B4">
        <w:rPr>
          <w:b/>
          <w:sz w:val="24"/>
        </w:rPr>
        <w:t>’</w:t>
      </w:r>
      <w:r>
        <w:rPr>
          <w:b/>
          <w:sz w:val="24"/>
        </w:rPr>
        <w:t xml:space="preserve"> series?</w:t>
      </w:r>
    </w:p>
    <w:p w14:paraId="0F733010" w14:textId="4FA1E601" w:rsidR="0023494B" w:rsidRPr="00D35047" w:rsidRDefault="00E240A7" w:rsidP="009C39C2">
      <w:pPr>
        <w:rPr>
          <w:rFonts w:cstheme="minorHAnsi"/>
          <w:sz w:val="24"/>
          <w:szCs w:val="24"/>
        </w:rPr>
      </w:pPr>
      <w:r>
        <w:rPr>
          <w:sz w:val="24"/>
        </w:rPr>
        <w:t xml:space="preserve">Yes, in accordance with IC276, allocation results for GV </w:t>
      </w:r>
      <w:r w:rsidR="00857A6A">
        <w:rPr>
          <w:sz w:val="24"/>
        </w:rPr>
        <w:t xml:space="preserve">(large consumers) </w:t>
      </w:r>
      <w:r>
        <w:rPr>
          <w:sz w:val="24"/>
        </w:rPr>
        <w:t xml:space="preserve">TMT allocation points will be determined and distributed per energy direction. </w:t>
      </w:r>
    </w:p>
    <w:p w14:paraId="716EF049" w14:textId="77777777" w:rsidR="005317F8" w:rsidRPr="003D0E3E" w:rsidRDefault="005317F8" w:rsidP="009C39C2">
      <w:pPr>
        <w:rPr>
          <w:rFonts w:cstheme="minorHAnsi"/>
          <w:b/>
          <w:bCs/>
          <w:sz w:val="24"/>
          <w:szCs w:val="24"/>
          <w:lang w:val="en-US"/>
        </w:rPr>
      </w:pPr>
    </w:p>
    <w:p w14:paraId="07FEA85F" w14:textId="22978BB3" w:rsidR="005317F8" w:rsidRPr="002F5144" w:rsidRDefault="000347E1" w:rsidP="002F5144">
      <w:pPr>
        <w:pStyle w:val="Lijstalinea"/>
        <w:numPr>
          <w:ilvl w:val="0"/>
          <w:numId w:val="2"/>
        </w:numPr>
        <w:rPr>
          <w:rFonts w:cstheme="minorHAnsi"/>
          <w:b/>
          <w:bCs/>
          <w:sz w:val="24"/>
          <w:szCs w:val="24"/>
        </w:rPr>
      </w:pPr>
      <w:r>
        <w:rPr>
          <w:b/>
          <w:sz w:val="24"/>
        </w:rPr>
        <w:t>Is type also taken into account; after all, a charging station does not have the same consumption as a household or shop?</w:t>
      </w:r>
    </w:p>
    <w:p w14:paraId="65FA1D37" w14:textId="276766A4" w:rsidR="003962BB" w:rsidRPr="00D35047" w:rsidRDefault="006B2A42" w:rsidP="009C39C2">
      <w:pPr>
        <w:rPr>
          <w:rFonts w:cstheme="minorHAnsi"/>
          <w:sz w:val="24"/>
          <w:szCs w:val="24"/>
        </w:rPr>
      </w:pPr>
      <w:r>
        <w:rPr>
          <w:sz w:val="24"/>
        </w:rPr>
        <w:t xml:space="preserve">No, the dynamic profile fractions are determined per grid area per determined </w:t>
      </w:r>
      <w:proofErr w:type="spellStart"/>
      <w:r>
        <w:rPr>
          <w:sz w:val="24"/>
        </w:rPr>
        <w:t>takeoff</w:t>
      </w:r>
      <w:proofErr w:type="spellEnd"/>
      <w:r>
        <w:rPr>
          <w:sz w:val="24"/>
        </w:rPr>
        <w:t xml:space="preserve"> type (AMI/AZI) and per energy direction. The source used for this is the aggregated data supplied by several suppliers using a large number of allocation points in the concerned grid area (the sample). This sample is expected to be a representative average of all types of allocation points in the grid area, thus also allocation points with charging stations.</w:t>
      </w:r>
    </w:p>
    <w:p w14:paraId="783B84D1" w14:textId="77777777" w:rsidR="00B81DCF" w:rsidRPr="003D0E3E" w:rsidRDefault="00B81DCF" w:rsidP="009C39C2">
      <w:pPr>
        <w:rPr>
          <w:rFonts w:cstheme="minorHAnsi"/>
          <w:b/>
          <w:bCs/>
          <w:sz w:val="24"/>
          <w:szCs w:val="24"/>
          <w:lang w:val="en-US"/>
        </w:rPr>
      </w:pPr>
    </w:p>
    <w:p w14:paraId="08B5BB6B" w14:textId="07E9410B" w:rsidR="005317F8" w:rsidRPr="002F5144" w:rsidRDefault="006E39CF" w:rsidP="002F5144">
      <w:pPr>
        <w:pStyle w:val="Lijstalinea"/>
        <w:numPr>
          <w:ilvl w:val="0"/>
          <w:numId w:val="2"/>
        </w:numPr>
        <w:rPr>
          <w:rFonts w:cstheme="minorHAnsi"/>
          <w:b/>
          <w:bCs/>
          <w:sz w:val="24"/>
          <w:szCs w:val="24"/>
        </w:rPr>
      </w:pPr>
      <w:r>
        <w:rPr>
          <w:b/>
          <w:sz w:val="24"/>
        </w:rPr>
        <w:t>Will SJI</w:t>
      </w:r>
      <w:r w:rsidR="00531DF7">
        <w:rPr>
          <w:b/>
          <w:sz w:val="24"/>
        </w:rPr>
        <w:t xml:space="preserve"> (</w:t>
      </w:r>
      <w:r w:rsidR="00531DF7" w:rsidRPr="00531DF7">
        <w:rPr>
          <w:b/>
          <w:sz w:val="24"/>
        </w:rPr>
        <w:t>standard annual volume feed-in</w:t>
      </w:r>
      <w:r w:rsidR="00531DF7">
        <w:rPr>
          <w:b/>
          <w:sz w:val="24"/>
        </w:rPr>
        <w:t>)</w:t>
      </w:r>
      <w:r>
        <w:rPr>
          <w:b/>
          <w:sz w:val="24"/>
        </w:rPr>
        <w:t xml:space="preserve">/SJA </w:t>
      </w:r>
      <w:r w:rsidR="00531DF7">
        <w:rPr>
          <w:b/>
          <w:sz w:val="24"/>
        </w:rPr>
        <w:t>(</w:t>
      </w:r>
      <w:r w:rsidR="00531DF7" w:rsidRPr="00531DF7">
        <w:rPr>
          <w:b/>
          <w:sz w:val="24"/>
        </w:rPr>
        <w:t>standard annual volume acquisition</w:t>
      </w:r>
      <w:r w:rsidR="00531DF7">
        <w:rPr>
          <w:b/>
          <w:sz w:val="24"/>
        </w:rPr>
        <w:t xml:space="preserve">) </w:t>
      </w:r>
      <w:r>
        <w:rPr>
          <w:b/>
          <w:sz w:val="24"/>
        </w:rPr>
        <w:t>be supplied by the supplier?</w:t>
      </w:r>
    </w:p>
    <w:p w14:paraId="589BBE86" w14:textId="10A12817" w:rsidR="00230C26" w:rsidRPr="00CB6767" w:rsidRDefault="00B422E1" w:rsidP="009C39C2">
      <w:pPr>
        <w:rPr>
          <w:rFonts w:cstheme="minorHAnsi"/>
          <w:b/>
          <w:bCs/>
          <w:sz w:val="24"/>
          <w:szCs w:val="24"/>
        </w:rPr>
      </w:pPr>
      <w:r>
        <w:rPr>
          <w:sz w:val="24"/>
        </w:rPr>
        <w:lastRenderedPageBreak/>
        <w:t>The aggregated data that is supplied by several suppliers to calculate the dynamic profile fractions does not only contain aggregated volumes per imbalance settlement period (</w:t>
      </w:r>
      <w:proofErr w:type="gramStart"/>
      <w:r>
        <w:rPr>
          <w:sz w:val="24"/>
        </w:rPr>
        <w:t>i.e.</w:t>
      </w:r>
      <w:proofErr w:type="gramEnd"/>
      <w:r>
        <w:rPr>
          <w:sz w:val="24"/>
        </w:rPr>
        <w:t xml:space="preserve"> a quarter), but also the aggregated SJI/SJA for the allocation points that are part of the aggregation.</w:t>
      </w:r>
    </w:p>
    <w:p w14:paraId="2DBB0899" w14:textId="77777777" w:rsidR="002F5144" w:rsidRPr="003D0E3E" w:rsidRDefault="002F5144" w:rsidP="009C39C2">
      <w:pPr>
        <w:rPr>
          <w:rFonts w:cstheme="minorHAnsi"/>
          <w:b/>
          <w:bCs/>
          <w:sz w:val="24"/>
          <w:szCs w:val="24"/>
          <w:lang w:val="en-US"/>
        </w:rPr>
      </w:pPr>
    </w:p>
    <w:p w14:paraId="2821CDB1" w14:textId="1A39CEC9" w:rsidR="00230C26" w:rsidRPr="002F5144" w:rsidRDefault="00CD5378" w:rsidP="002F5144">
      <w:pPr>
        <w:pStyle w:val="Lijstalinea"/>
        <w:numPr>
          <w:ilvl w:val="0"/>
          <w:numId w:val="2"/>
        </w:numPr>
        <w:rPr>
          <w:rFonts w:cstheme="minorHAnsi"/>
          <w:b/>
          <w:bCs/>
          <w:sz w:val="24"/>
          <w:szCs w:val="24"/>
        </w:rPr>
      </w:pPr>
      <w:r>
        <w:rPr>
          <w:b/>
          <w:sz w:val="24"/>
        </w:rPr>
        <w:t>Will consumption soon be allocated based on all individual EAN codes instead of 1 virtual EAN?</w:t>
      </w:r>
    </w:p>
    <w:p w14:paraId="56C2ABCA" w14:textId="73A7E51B" w:rsidR="009D65DD" w:rsidRDefault="00F90AA4" w:rsidP="009C39C2">
      <w:pPr>
        <w:rPr>
          <w:rFonts w:cstheme="minorHAnsi"/>
          <w:sz w:val="24"/>
          <w:szCs w:val="24"/>
        </w:rPr>
      </w:pPr>
      <w:r>
        <w:rPr>
          <w:sz w:val="24"/>
        </w:rPr>
        <w:t>For SMA, due to the GDPR, allocation results will continue to be supplied to the BRP as an aggregated BRP/</w:t>
      </w:r>
      <w:r w:rsidR="00C80D79">
        <w:rPr>
          <w:sz w:val="24"/>
        </w:rPr>
        <w:t>SUP</w:t>
      </w:r>
      <w:r>
        <w:rPr>
          <w:sz w:val="24"/>
        </w:rPr>
        <w:t xml:space="preserve"> combination. However, aggregation will take place per energy direction and will no longer be balanced for both energy directions. </w:t>
      </w:r>
    </w:p>
    <w:p w14:paraId="128F3EE6" w14:textId="3AF141F5" w:rsidR="00BF7A70" w:rsidRDefault="009D65DD" w:rsidP="009C39C2">
      <w:pPr>
        <w:rPr>
          <w:rFonts w:cstheme="minorHAnsi"/>
          <w:sz w:val="24"/>
          <w:szCs w:val="24"/>
        </w:rPr>
      </w:pPr>
      <w:r>
        <w:rPr>
          <w:sz w:val="24"/>
        </w:rPr>
        <w:t>The virtual EAN code used in the current EDINE messages (per BRP/</w:t>
      </w:r>
      <w:r w:rsidR="00C80D79">
        <w:rPr>
          <w:sz w:val="24"/>
        </w:rPr>
        <w:t>SUP</w:t>
      </w:r>
      <w:r>
        <w:rPr>
          <w:sz w:val="24"/>
        </w:rPr>
        <w:t xml:space="preserve"> combination) will no longer be used. New messages will mention the BRP/</w:t>
      </w:r>
      <w:r w:rsidR="00C80D79">
        <w:rPr>
          <w:sz w:val="24"/>
        </w:rPr>
        <w:t>SUP</w:t>
      </w:r>
      <w:r>
        <w:rPr>
          <w:sz w:val="24"/>
        </w:rPr>
        <w:t xml:space="preserve"> combination to which the allocation results apply, which means these virtual EAN codes will become obsolete.</w:t>
      </w:r>
    </w:p>
    <w:p w14:paraId="0DB9E7DA" w14:textId="77777777" w:rsidR="005317F8" w:rsidRPr="003D0E3E" w:rsidRDefault="005317F8" w:rsidP="009C39C2">
      <w:pPr>
        <w:rPr>
          <w:rFonts w:cstheme="minorHAnsi"/>
          <w:b/>
          <w:bCs/>
          <w:sz w:val="24"/>
          <w:szCs w:val="24"/>
          <w:lang w:val="en-US"/>
        </w:rPr>
      </w:pPr>
    </w:p>
    <w:p w14:paraId="5E43F288" w14:textId="1A56943B" w:rsidR="005D322A" w:rsidRPr="002F5144" w:rsidRDefault="002F5144" w:rsidP="002F5144">
      <w:pPr>
        <w:pStyle w:val="Lijstalinea"/>
        <w:numPr>
          <w:ilvl w:val="0"/>
          <w:numId w:val="2"/>
        </w:numPr>
        <w:rPr>
          <w:rFonts w:cstheme="minorHAnsi"/>
          <w:b/>
          <w:bCs/>
          <w:sz w:val="24"/>
          <w:szCs w:val="24"/>
        </w:rPr>
      </w:pPr>
      <w:r>
        <w:rPr>
          <w:b/>
          <w:sz w:val="24"/>
        </w:rPr>
        <w:t>Is OVP the same as PTE?</w:t>
      </w:r>
    </w:p>
    <w:p w14:paraId="5BD62085" w14:textId="1E3591C1" w:rsidR="005271E6" w:rsidRPr="006B78DC" w:rsidRDefault="00D8219B" w:rsidP="009C39C2">
      <w:pPr>
        <w:rPr>
          <w:rFonts w:cstheme="minorHAnsi"/>
          <w:sz w:val="24"/>
          <w:szCs w:val="24"/>
        </w:rPr>
      </w:pPr>
      <w:r>
        <w:rPr>
          <w:sz w:val="24"/>
        </w:rPr>
        <w:t xml:space="preserve">Yes, an Unbalance Settlement Period (OVP) is in fact a quarter. The term Programme Time Unit (PTE) was previously used for this, although the current Net code uses the term ‘imbalance settlement period’. </w:t>
      </w:r>
    </w:p>
    <w:p w14:paraId="3AD0389A" w14:textId="77777777" w:rsidR="00AA2D8F" w:rsidRPr="003D0E3E" w:rsidRDefault="00AA2D8F" w:rsidP="009C39C2">
      <w:pPr>
        <w:rPr>
          <w:rFonts w:cstheme="minorHAnsi"/>
          <w:b/>
          <w:bCs/>
          <w:sz w:val="24"/>
          <w:szCs w:val="24"/>
          <w:lang w:val="en-US"/>
        </w:rPr>
      </w:pPr>
    </w:p>
    <w:p w14:paraId="4B8DB5F9" w14:textId="145A80B7" w:rsidR="00231A1A" w:rsidRPr="00857A6A" w:rsidRDefault="00231A1A" w:rsidP="00094C20">
      <w:pPr>
        <w:pStyle w:val="Lijstalinea"/>
        <w:numPr>
          <w:ilvl w:val="0"/>
          <w:numId w:val="2"/>
        </w:numPr>
        <w:rPr>
          <w:rFonts w:cstheme="minorHAnsi"/>
          <w:b/>
          <w:sz w:val="24"/>
          <w:szCs w:val="24"/>
        </w:rPr>
      </w:pPr>
      <w:r w:rsidRPr="00857A6A">
        <w:rPr>
          <w:b/>
          <w:sz w:val="24"/>
        </w:rPr>
        <w:t>Besides KV</w:t>
      </w:r>
      <w:r w:rsidR="00857A6A" w:rsidRPr="00857A6A">
        <w:rPr>
          <w:b/>
          <w:sz w:val="24"/>
        </w:rPr>
        <w:t xml:space="preserve"> (small consumers)</w:t>
      </w:r>
      <w:r w:rsidRPr="00857A6A">
        <w:rPr>
          <w:b/>
          <w:sz w:val="24"/>
        </w:rPr>
        <w:t xml:space="preserve">, does IC256 also not apply to all GV </w:t>
      </w:r>
      <w:r w:rsidR="00857A6A" w:rsidRPr="00857A6A">
        <w:rPr>
          <w:b/>
          <w:sz w:val="24"/>
        </w:rPr>
        <w:t xml:space="preserve">(large consumers) </w:t>
      </w:r>
      <w:r w:rsidRPr="00857A6A">
        <w:rPr>
          <w:b/>
          <w:sz w:val="24"/>
        </w:rPr>
        <w:t>PRF categories? (</w:t>
      </w:r>
      <w:r w:rsidR="001B656B" w:rsidRPr="00857A6A">
        <w:rPr>
          <w:b/>
          <w:sz w:val="24"/>
        </w:rPr>
        <w:t>T</w:t>
      </w:r>
      <w:r w:rsidRPr="00857A6A">
        <w:rPr>
          <w:b/>
          <w:sz w:val="24"/>
        </w:rPr>
        <w:t xml:space="preserve">herefore, besides A123, that also mentioned on the sheet for </w:t>
      </w:r>
      <w:proofErr w:type="gramStart"/>
      <w:r w:rsidRPr="00857A6A">
        <w:rPr>
          <w:b/>
          <w:sz w:val="24"/>
        </w:rPr>
        <w:t>e.g.</w:t>
      </w:r>
      <w:proofErr w:type="gramEnd"/>
      <w:r w:rsidRPr="00857A6A">
        <w:rPr>
          <w:b/>
          <w:sz w:val="24"/>
        </w:rPr>
        <w:t xml:space="preserve"> E3 PRF?)</w:t>
      </w:r>
    </w:p>
    <w:p w14:paraId="17DB26DA" w14:textId="7008E01A" w:rsidR="00591967" w:rsidRPr="00680A71" w:rsidRDefault="009B351A" w:rsidP="009C39C2">
      <w:pPr>
        <w:rPr>
          <w:rFonts w:cstheme="minorHAnsi"/>
          <w:sz w:val="24"/>
          <w:szCs w:val="24"/>
        </w:rPr>
      </w:pPr>
      <w:r>
        <w:rPr>
          <w:sz w:val="24"/>
        </w:rPr>
        <w:t xml:space="preserve">Strictly speaking, IC256 applies to profile categories E1A, E1B, E1C, E2A, E2B or E4A. However, how profile fractions are defined has also changed due to IC273, which also has an impact when calculating SJI/SJA </w:t>
      </w:r>
      <w:r w:rsidR="001B656B">
        <w:rPr>
          <w:sz w:val="24"/>
        </w:rPr>
        <w:t>(</w:t>
      </w:r>
      <w:r w:rsidR="001B656B" w:rsidRPr="001B656B">
        <w:rPr>
          <w:sz w:val="24"/>
        </w:rPr>
        <w:t>standard annual volume feed-in/standard annual volume acquisition</w:t>
      </w:r>
      <w:r w:rsidR="001B656B">
        <w:rPr>
          <w:sz w:val="24"/>
        </w:rPr>
        <w:t xml:space="preserve">) </w:t>
      </w:r>
      <w:r>
        <w:rPr>
          <w:sz w:val="24"/>
        </w:rPr>
        <w:t>for the E3 profile categories.</w:t>
      </w:r>
    </w:p>
    <w:p w14:paraId="0ABD9128" w14:textId="77777777" w:rsidR="00231A1A" w:rsidRPr="003D0E3E" w:rsidRDefault="00231A1A" w:rsidP="009C39C2">
      <w:pPr>
        <w:rPr>
          <w:rFonts w:cstheme="minorHAnsi"/>
          <w:b/>
          <w:bCs/>
          <w:sz w:val="24"/>
          <w:szCs w:val="24"/>
          <w:lang w:val="en-US"/>
        </w:rPr>
      </w:pPr>
    </w:p>
    <w:p w14:paraId="2871AC17" w14:textId="137CC710" w:rsidR="006F0722" w:rsidRDefault="00237055" w:rsidP="00FB0EBB">
      <w:pPr>
        <w:pStyle w:val="Lijstalinea"/>
        <w:numPr>
          <w:ilvl w:val="0"/>
          <w:numId w:val="2"/>
        </w:numPr>
        <w:rPr>
          <w:rFonts w:cstheme="minorHAnsi"/>
          <w:b/>
          <w:bCs/>
          <w:sz w:val="24"/>
          <w:szCs w:val="24"/>
        </w:rPr>
      </w:pPr>
      <w:r>
        <w:rPr>
          <w:b/>
          <w:sz w:val="24"/>
        </w:rPr>
        <w:t xml:space="preserve"> What if the previous period was estimated over a longer period and the new reading is measured? (</w:t>
      </w:r>
      <w:r w:rsidR="001B656B">
        <w:rPr>
          <w:b/>
          <w:sz w:val="24"/>
        </w:rPr>
        <w:t>A</w:t>
      </w:r>
      <w:r>
        <w:rPr>
          <w:b/>
          <w:sz w:val="24"/>
        </w:rPr>
        <w:t xml:space="preserve"> measurement point is estimated over a long period, and is measured at a particular moment in time, whereby excessive consumption falls within the wrong period. Can the supplier then contact the metering company to find out what happened in this case?) </w:t>
      </w:r>
    </w:p>
    <w:p w14:paraId="42C3F2E7" w14:textId="0083FEDA" w:rsidR="00E51149" w:rsidRDefault="003E5659" w:rsidP="009C39C2">
      <w:pPr>
        <w:rPr>
          <w:rFonts w:cstheme="minorHAnsi"/>
          <w:sz w:val="24"/>
          <w:szCs w:val="24"/>
        </w:rPr>
      </w:pPr>
      <w:r>
        <w:rPr>
          <w:sz w:val="24"/>
        </w:rPr>
        <w:t xml:space="preserve">According to the rules for </w:t>
      </w:r>
      <w:r>
        <w:rPr>
          <w:i/>
          <w:sz w:val="24"/>
        </w:rPr>
        <w:t>IC253 Measurement correction report</w:t>
      </w:r>
      <w:r>
        <w:rPr>
          <w:sz w:val="24"/>
        </w:rPr>
        <w:t>, when it comes to volumes based on measured metering data, there are no consultation possibilities via regulated messages because metering data is simply based on measurements. Naturally, in such cases, the supplier is free to contact the metering responsible party.</w:t>
      </w:r>
    </w:p>
    <w:p w14:paraId="01EF1822" w14:textId="77777777" w:rsidR="00240E5C" w:rsidRPr="003D0E3E" w:rsidRDefault="00240E5C" w:rsidP="009C39C2">
      <w:pPr>
        <w:rPr>
          <w:rFonts w:cstheme="minorHAnsi"/>
          <w:b/>
          <w:bCs/>
          <w:sz w:val="24"/>
          <w:szCs w:val="24"/>
          <w:lang w:val="en-US"/>
        </w:rPr>
      </w:pPr>
    </w:p>
    <w:p w14:paraId="084BC5DA" w14:textId="17611B03" w:rsidR="00967A26" w:rsidRPr="007B7F35" w:rsidRDefault="00967A26" w:rsidP="007B7F35">
      <w:pPr>
        <w:pStyle w:val="Lijstalinea"/>
        <w:numPr>
          <w:ilvl w:val="0"/>
          <w:numId w:val="2"/>
        </w:numPr>
        <w:rPr>
          <w:rFonts w:cstheme="minorHAnsi"/>
          <w:b/>
          <w:bCs/>
          <w:sz w:val="24"/>
          <w:szCs w:val="24"/>
        </w:rPr>
      </w:pPr>
      <w:r>
        <w:rPr>
          <w:b/>
          <w:sz w:val="24"/>
        </w:rPr>
        <w:lastRenderedPageBreak/>
        <w:t xml:space="preserve">Will the notification </w:t>
      </w:r>
      <w:r w:rsidR="00B914B4">
        <w:rPr>
          <w:b/>
          <w:sz w:val="24"/>
        </w:rPr>
        <w:t>‘</w:t>
      </w:r>
      <w:r>
        <w:rPr>
          <w:b/>
          <w:sz w:val="24"/>
        </w:rPr>
        <w:t>consultation requested</w:t>
      </w:r>
      <w:r w:rsidR="00B914B4">
        <w:rPr>
          <w:b/>
          <w:sz w:val="24"/>
        </w:rPr>
        <w:t>’</w:t>
      </w:r>
      <w:r>
        <w:rPr>
          <w:b/>
          <w:sz w:val="24"/>
        </w:rPr>
        <w:t xml:space="preserve"> be implemented in the initial response or in a separate message? And is this also still possible ‘manually’ via the PUD (Portal Exchange Services)?</w:t>
      </w:r>
    </w:p>
    <w:p w14:paraId="485DAEE0" w14:textId="34ED62B7" w:rsidR="00BE3B7D" w:rsidRPr="006A5010" w:rsidRDefault="00DD77F7" w:rsidP="00CB6767">
      <w:pPr>
        <w:rPr>
          <w:rFonts w:cstheme="minorHAnsi"/>
          <w:sz w:val="24"/>
          <w:szCs w:val="24"/>
        </w:rPr>
      </w:pPr>
      <w:r>
        <w:rPr>
          <w:sz w:val="24"/>
        </w:rPr>
        <w:t xml:space="preserve">The response message to the measurement correction report will offer the option of responding to a market party that is requesting consultation. It is also possible to indicate this via the </w:t>
      </w:r>
      <w:proofErr w:type="spellStart"/>
      <w:r>
        <w:rPr>
          <w:sz w:val="24"/>
        </w:rPr>
        <w:t>webGUI</w:t>
      </w:r>
      <w:proofErr w:type="spellEnd"/>
      <w:r>
        <w:rPr>
          <w:sz w:val="24"/>
        </w:rPr>
        <w:t xml:space="preserve"> on the PUD. </w:t>
      </w:r>
    </w:p>
    <w:p w14:paraId="7216FE26" w14:textId="77777777" w:rsidR="00967A26" w:rsidRPr="003D0E3E" w:rsidRDefault="00967A26" w:rsidP="009C39C2">
      <w:pPr>
        <w:rPr>
          <w:rFonts w:cstheme="minorHAnsi"/>
          <w:b/>
          <w:bCs/>
          <w:sz w:val="24"/>
          <w:szCs w:val="24"/>
          <w:lang w:val="en-US"/>
        </w:rPr>
      </w:pPr>
    </w:p>
    <w:p w14:paraId="4BBCC3A7" w14:textId="4E4B104F" w:rsidR="00231A1A" w:rsidRPr="007B7F35" w:rsidRDefault="00BE3B7D" w:rsidP="007B7F35">
      <w:pPr>
        <w:pStyle w:val="Lijstalinea"/>
        <w:numPr>
          <w:ilvl w:val="0"/>
          <w:numId w:val="2"/>
        </w:numPr>
        <w:rPr>
          <w:rFonts w:cstheme="minorHAnsi"/>
          <w:b/>
          <w:bCs/>
          <w:sz w:val="24"/>
          <w:szCs w:val="24"/>
        </w:rPr>
      </w:pPr>
      <w:r>
        <w:rPr>
          <w:b/>
          <w:sz w:val="24"/>
        </w:rPr>
        <w:t>How does the MCR process compare to the existing dispute process?</w:t>
      </w:r>
    </w:p>
    <w:p w14:paraId="006DA97C" w14:textId="274884A1" w:rsidR="009C39C2" w:rsidRPr="001A7246" w:rsidRDefault="001A7246" w:rsidP="00CB6767">
      <w:pPr>
        <w:rPr>
          <w:rFonts w:cstheme="minorHAnsi"/>
          <w:sz w:val="24"/>
          <w:szCs w:val="24"/>
        </w:rPr>
      </w:pPr>
      <w:r>
        <w:rPr>
          <w:sz w:val="24"/>
        </w:rPr>
        <w:t>The dispute process relates to KV</w:t>
      </w:r>
      <w:r w:rsidR="001B656B">
        <w:rPr>
          <w:sz w:val="24"/>
        </w:rPr>
        <w:t xml:space="preserve"> (small consumers)</w:t>
      </w:r>
      <w:r>
        <w:rPr>
          <w:sz w:val="24"/>
        </w:rPr>
        <w:t>; the MCR process relates to GV</w:t>
      </w:r>
      <w:r w:rsidR="00857A6A">
        <w:rPr>
          <w:sz w:val="24"/>
        </w:rPr>
        <w:t xml:space="preserve"> (large consumers)</w:t>
      </w:r>
      <w:r>
        <w:rPr>
          <w:sz w:val="24"/>
        </w:rPr>
        <w:t xml:space="preserve">; they are thus separate processes. </w:t>
      </w:r>
    </w:p>
    <w:p w14:paraId="2EE01292" w14:textId="77777777" w:rsidR="001A7246" w:rsidRPr="003D0E3E" w:rsidRDefault="001A7246" w:rsidP="007A0C1A">
      <w:pPr>
        <w:rPr>
          <w:rFonts w:cstheme="minorHAnsi"/>
          <w:b/>
          <w:bCs/>
          <w:sz w:val="24"/>
          <w:szCs w:val="24"/>
          <w:lang w:val="en-US"/>
        </w:rPr>
      </w:pPr>
    </w:p>
    <w:p w14:paraId="4B90CBEB" w14:textId="7B9C3D99" w:rsidR="0017665E" w:rsidRPr="001A7246" w:rsidRDefault="00F158DD" w:rsidP="001A7246">
      <w:pPr>
        <w:pStyle w:val="Lijstalinea"/>
        <w:numPr>
          <w:ilvl w:val="0"/>
          <w:numId w:val="2"/>
        </w:numPr>
        <w:rPr>
          <w:rFonts w:cstheme="minorHAnsi"/>
          <w:b/>
          <w:bCs/>
          <w:sz w:val="24"/>
          <w:szCs w:val="24"/>
        </w:rPr>
      </w:pPr>
      <w:r>
        <w:rPr>
          <w:b/>
          <w:sz w:val="24"/>
        </w:rPr>
        <w:t xml:space="preserve"> Are there links between the various messages with regard to </w:t>
      </w:r>
      <w:r w:rsidR="00B914B4">
        <w:rPr>
          <w:b/>
          <w:sz w:val="24"/>
        </w:rPr>
        <w:t>‘</w:t>
      </w:r>
      <w:r>
        <w:rPr>
          <w:b/>
          <w:sz w:val="24"/>
        </w:rPr>
        <w:t>allocation run</w:t>
      </w:r>
      <w:r w:rsidR="00B914B4">
        <w:rPr>
          <w:b/>
          <w:sz w:val="24"/>
        </w:rPr>
        <w:t>’</w:t>
      </w:r>
      <w:r>
        <w:rPr>
          <w:b/>
          <w:sz w:val="24"/>
        </w:rPr>
        <w:t>?</w:t>
      </w:r>
    </w:p>
    <w:p w14:paraId="252923CB" w14:textId="67B2D7C7" w:rsidR="00F158DD" w:rsidRPr="001A7246" w:rsidRDefault="00FF2D60" w:rsidP="007A0C1A">
      <w:pPr>
        <w:rPr>
          <w:rFonts w:cstheme="minorHAnsi"/>
          <w:sz w:val="24"/>
          <w:szCs w:val="24"/>
        </w:rPr>
      </w:pPr>
      <w:r>
        <w:rPr>
          <w:sz w:val="24"/>
        </w:rPr>
        <w:t xml:space="preserve">Yes, there is a so-called allocation run identification, which is the connecting link between all these messages. Example: A party that receives messages for a particular allocation run, </w:t>
      </w:r>
      <w:proofErr w:type="gramStart"/>
      <w:r>
        <w:rPr>
          <w:sz w:val="24"/>
        </w:rPr>
        <w:t>e.g.</w:t>
      </w:r>
      <w:proofErr w:type="gramEnd"/>
      <w:r>
        <w:rPr>
          <w:sz w:val="24"/>
        </w:rPr>
        <w:t xml:space="preserve"> aggregated allocation data per allocation point and RCF profile fractions, will find an allocation run identification in all these messages. This identification is unique for all messages from a particular allocation run per grid area, whereby the concerned party is able to link the concerned messages to each other. </w:t>
      </w:r>
    </w:p>
    <w:p w14:paraId="613C0A79" w14:textId="77777777" w:rsidR="00367DC3" w:rsidRPr="003D0E3E" w:rsidRDefault="00367DC3" w:rsidP="007A0C1A">
      <w:pPr>
        <w:rPr>
          <w:rFonts w:cstheme="minorHAnsi"/>
          <w:b/>
          <w:bCs/>
          <w:sz w:val="24"/>
          <w:szCs w:val="24"/>
          <w:lang w:val="en-US"/>
        </w:rPr>
      </w:pPr>
    </w:p>
    <w:p w14:paraId="25BABB26" w14:textId="40F6D675" w:rsidR="00367DC3" w:rsidRDefault="005260D8" w:rsidP="005260D8">
      <w:pPr>
        <w:pStyle w:val="Lijstalinea"/>
        <w:numPr>
          <w:ilvl w:val="0"/>
          <w:numId w:val="2"/>
        </w:numPr>
        <w:rPr>
          <w:rFonts w:cstheme="minorHAnsi"/>
          <w:b/>
          <w:bCs/>
          <w:sz w:val="24"/>
          <w:szCs w:val="24"/>
        </w:rPr>
      </w:pPr>
      <w:r>
        <w:rPr>
          <w:b/>
          <w:sz w:val="24"/>
        </w:rPr>
        <w:t>Is there a naming convention for the allocation run ID?</w:t>
      </w:r>
    </w:p>
    <w:p w14:paraId="5FE5FCDB" w14:textId="7E166432" w:rsidR="005260D8" w:rsidRPr="005260D8" w:rsidRDefault="00B60EF6" w:rsidP="005260D8">
      <w:pPr>
        <w:rPr>
          <w:rFonts w:cstheme="minorHAnsi"/>
          <w:sz w:val="24"/>
          <w:szCs w:val="24"/>
        </w:rPr>
      </w:pPr>
      <w:r>
        <w:rPr>
          <w:sz w:val="24"/>
        </w:rPr>
        <w:t xml:space="preserve">Yes, see the </w:t>
      </w:r>
      <w:r>
        <w:rPr>
          <w:i/>
          <w:iCs/>
          <w:sz w:val="24"/>
        </w:rPr>
        <w:t xml:space="preserve">Business Service </w:t>
      </w:r>
      <w:proofErr w:type="spellStart"/>
      <w:r w:rsidR="00857A6A" w:rsidRPr="00857A6A">
        <w:rPr>
          <w:rFonts w:cstheme="minorHAnsi"/>
          <w:i/>
          <w:iCs/>
          <w:sz w:val="24"/>
          <w:szCs w:val="24"/>
          <w:lang w:val="en-US"/>
        </w:rPr>
        <w:t>Uitwisselen</w:t>
      </w:r>
      <w:proofErr w:type="spellEnd"/>
      <w:r w:rsidR="00857A6A" w:rsidRPr="00857A6A">
        <w:rPr>
          <w:rFonts w:cstheme="minorHAnsi"/>
          <w:i/>
          <w:iCs/>
          <w:sz w:val="24"/>
          <w:szCs w:val="24"/>
          <w:lang w:val="en-US"/>
        </w:rPr>
        <w:t xml:space="preserve"> </w:t>
      </w:r>
      <w:proofErr w:type="spellStart"/>
      <w:r w:rsidR="00857A6A" w:rsidRPr="00857A6A">
        <w:rPr>
          <w:rFonts w:cstheme="minorHAnsi"/>
          <w:i/>
          <w:iCs/>
          <w:sz w:val="24"/>
          <w:szCs w:val="24"/>
          <w:lang w:val="en-US"/>
        </w:rPr>
        <w:t>allocatiegegevens</w:t>
      </w:r>
      <w:proofErr w:type="spellEnd"/>
      <w:r w:rsidR="00857A6A" w:rsidRPr="00857A6A">
        <w:rPr>
          <w:rFonts w:cstheme="minorHAnsi"/>
          <w:i/>
          <w:iCs/>
          <w:sz w:val="24"/>
          <w:szCs w:val="24"/>
          <w:lang w:val="en-US"/>
        </w:rPr>
        <w:t xml:space="preserve"> </w:t>
      </w:r>
      <w:proofErr w:type="spellStart"/>
      <w:r w:rsidR="00857A6A" w:rsidRPr="00857A6A">
        <w:rPr>
          <w:rFonts w:cstheme="minorHAnsi"/>
          <w:i/>
          <w:iCs/>
          <w:sz w:val="24"/>
          <w:szCs w:val="24"/>
          <w:lang w:val="en-US"/>
        </w:rPr>
        <w:t>elektriciteit</w:t>
      </w:r>
      <w:proofErr w:type="spellEnd"/>
      <w:r w:rsidR="00857A6A">
        <w:rPr>
          <w:i/>
          <w:iCs/>
          <w:sz w:val="24"/>
        </w:rPr>
        <w:t xml:space="preserve"> (‘</w:t>
      </w:r>
      <w:r>
        <w:rPr>
          <w:i/>
          <w:iCs/>
          <w:sz w:val="24"/>
        </w:rPr>
        <w:t>Exchange allocation data electricity</w:t>
      </w:r>
      <w:r w:rsidR="00857A6A">
        <w:rPr>
          <w:i/>
          <w:iCs/>
          <w:sz w:val="24"/>
        </w:rPr>
        <w:t>’)</w:t>
      </w:r>
      <w:r>
        <w:rPr>
          <w:sz w:val="24"/>
        </w:rPr>
        <w:t>.</w:t>
      </w:r>
    </w:p>
    <w:p w14:paraId="44953198" w14:textId="77777777" w:rsidR="00367DC3" w:rsidRPr="003D0E3E" w:rsidRDefault="00367DC3" w:rsidP="007A0C1A">
      <w:pPr>
        <w:rPr>
          <w:rFonts w:cstheme="minorHAnsi"/>
          <w:b/>
          <w:bCs/>
          <w:sz w:val="24"/>
          <w:szCs w:val="24"/>
          <w:lang w:val="en-US"/>
        </w:rPr>
      </w:pPr>
    </w:p>
    <w:p w14:paraId="4B79A6AD" w14:textId="3FADABC3" w:rsidR="00367DC3" w:rsidRPr="0030627C" w:rsidRDefault="0030627C" w:rsidP="0030627C">
      <w:pPr>
        <w:pStyle w:val="Lijstalinea"/>
        <w:numPr>
          <w:ilvl w:val="0"/>
          <w:numId w:val="2"/>
        </w:numPr>
        <w:rPr>
          <w:rFonts w:cstheme="minorHAnsi"/>
          <w:b/>
          <w:bCs/>
          <w:sz w:val="24"/>
          <w:szCs w:val="24"/>
        </w:rPr>
      </w:pPr>
      <w:r>
        <w:rPr>
          <w:b/>
          <w:sz w:val="24"/>
        </w:rPr>
        <w:t>Is profile also aggregated per profile category?</w:t>
      </w:r>
    </w:p>
    <w:p w14:paraId="355B7770" w14:textId="63752698" w:rsidR="00367DC3" w:rsidRPr="0066751B" w:rsidRDefault="00367DC3" w:rsidP="007A0C1A">
      <w:pPr>
        <w:rPr>
          <w:rFonts w:cstheme="minorHAnsi"/>
          <w:sz w:val="24"/>
          <w:szCs w:val="24"/>
        </w:rPr>
      </w:pPr>
      <w:r>
        <w:rPr>
          <w:sz w:val="24"/>
        </w:rPr>
        <w:t xml:space="preserve">Yes, and E1 and E2 also feature </w:t>
      </w:r>
      <w:proofErr w:type="spellStart"/>
      <w:r>
        <w:rPr>
          <w:sz w:val="24"/>
        </w:rPr>
        <w:t>takeoff</w:t>
      </w:r>
      <w:proofErr w:type="spellEnd"/>
      <w:r>
        <w:rPr>
          <w:sz w:val="24"/>
        </w:rPr>
        <w:t xml:space="preserve"> type AMI or AZI. </w:t>
      </w:r>
    </w:p>
    <w:p w14:paraId="109DCC4F" w14:textId="77777777" w:rsidR="00AF3AC8" w:rsidRPr="003D0E3E" w:rsidRDefault="00AF3AC8" w:rsidP="007A0C1A">
      <w:pPr>
        <w:rPr>
          <w:rFonts w:cstheme="minorHAnsi"/>
          <w:b/>
          <w:bCs/>
          <w:sz w:val="24"/>
          <w:szCs w:val="24"/>
          <w:lang w:val="en-US"/>
        </w:rPr>
      </w:pPr>
    </w:p>
    <w:p w14:paraId="59A41F5E" w14:textId="19F33E0F" w:rsidR="00AF3AC8" w:rsidRPr="0066751B" w:rsidRDefault="004F76CC" w:rsidP="0066751B">
      <w:pPr>
        <w:pStyle w:val="Lijstalinea"/>
        <w:numPr>
          <w:ilvl w:val="0"/>
          <w:numId w:val="2"/>
        </w:numPr>
        <w:rPr>
          <w:rFonts w:cstheme="minorHAnsi"/>
          <w:b/>
          <w:bCs/>
          <w:sz w:val="24"/>
          <w:szCs w:val="24"/>
        </w:rPr>
      </w:pPr>
      <w:r>
        <w:rPr>
          <w:b/>
          <w:sz w:val="24"/>
        </w:rPr>
        <w:t xml:space="preserve">Does the new allocation method also have an impact on the accrual of receipts (per energy direction)? </w:t>
      </w:r>
    </w:p>
    <w:p w14:paraId="4880252E" w14:textId="6E0B08E3" w:rsidR="00701851" w:rsidRPr="0066751B" w:rsidRDefault="0078369E" w:rsidP="007A0C1A">
      <w:pPr>
        <w:rPr>
          <w:rFonts w:cstheme="minorHAnsi"/>
          <w:sz w:val="24"/>
          <w:szCs w:val="24"/>
        </w:rPr>
      </w:pPr>
      <w:r>
        <w:rPr>
          <w:sz w:val="24"/>
        </w:rPr>
        <w:t>The reconciliation messages have not changed and thus neither have the receipts.</w:t>
      </w:r>
    </w:p>
    <w:p w14:paraId="513B5211" w14:textId="4721DF0B" w:rsidR="00FF63C5" w:rsidRPr="003D0E3E" w:rsidRDefault="00FF63C5" w:rsidP="007A0C1A">
      <w:pPr>
        <w:rPr>
          <w:rFonts w:cstheme="minorHAnsi"/>
          <w:b/>
          <w:bCs/>
          <w:sz w:val="24"/>
          <w:szCs w:val="24"/>
          <w:lang w:val="en-US"/>
        </w:rPr>
      </w:pPr>
    </w:p>
    <w:p w14:paraId="7976775E" w14:textId="689F4444" w:rsidR="00B81DCF" w:rsidRPr="003D0E3E" w:rsidRDefault="00B81DCF" w:rsidP="007A0C1A">
      <w:pPr>
        <w:rPr>
          <w:rFonts w:cstheme="minorHAnsi"/>
          <w:b/>
          <w:bCs/>
          <w:sz w:val="24"/>
          <w:szCs w:val="24"/>
          <w:lang w:val="en-US"/>
        </w:rPr>
      </w:pPr>
    </w:p>
    <w:p w14:paraId="410ADAB7" w14:textId="7B80BE1B" w:rsidR="00B81DCF" w:rsidRPr="003D0E3E" w:rsidRDefault="00B81DCF" w:rsidP="007A0C1A">
      <w:pPr>
        <w:rPr>
          <w:rFonts w:cstheme="minorHAnsi"/>
          <w:b/>
          <w:bCs/>
          <w:sz w:val="24"/>
          <w:szCs w:val="24"/>
          <w:lang w:val="en-US"/>
        </w:rPr>
      </w:pPr>
    </w:p>
    <w:p w14:paraId="150A0EF1" w14:textId="77777777" w:rsidR="00B81DCF" w:rsidRPr="003D0E3E" w:rsidRDefault="00B81DCF" w:rsidP="007A0C1A">
      <w:pPr>
        <w:rPr>
          <w:rFonts w:cstheme="minorHAnsi"/>
          <w:b/>
          <w:bCs/>
          <w:sz w:val="24"/>
          <w:szCs w:val="24"/>
          <w:lang w:val="en-US"/>
        </w:rPr>
      </w:pPr>
    </w:p>
    <w:p w14:paraId="043ED114" w14:textId="62022BF5" w:rsidR="00701851" w:rsidRPr="009F068B" w:rsidRDefault="006F0722" w:rsidP="00163E60">
      <w:pPr>
        <w:pStyle w:val="Lijstalinea"/>
        <w:numPr>
          <w:ilvl w:val="0"/>
          <w:numId w:val="2"/>
        </w:numPr>
        <w:rPr>
          <w:rFonts w:cstheme="minorHAnsi"/>
          <w:b/>
          <w:bCs/>
          <w:sz w:val="24"/>
          <w:szCs w:val="24"/>
        </w:rPr>
      </w:pPr>
      <w:r>
        <w:rPr>
          <w:b/>
          <w:sz w:val="24"/>
        </w:rPr>
        <w:lastRenderedPageBreak/>
        <w:t>We currently receive 3 (versions of) messages per allocation day. Is it true that this will become 5 per allocation day? In other words, will we now be getting 5 versions of a message per allocation day per allocation point?</w:t>
      </w:r>
    </w:p>
    <w:p w14:paraId="2E796D7D" w14:textId="16F0F468" w:rsidR="00A468CF" w:rsidRPr="00741588" w:rsidRDefault="00EF2CD0" w:rsidP="00CB6767">
      <w:pPr>
        <w:rPr>
          <w:rFonts w:cstheme="minorHAnsi"/>
          <w:sz w:val="24"/>
          <w:szCs w:val="24"/>
        </w:rPr>
      </w:pPr>
      <w:r>
        <w:rPr>
          <w:sz w:val="24"/>
        </w:rPr>
        <w:t>In this case, it means: 1 – 5 – 10, where the regional grid operators have a voluntary 3 and 8 option. This will remain the same. As of Tranche 2, a BRP can thus expect 5 versions from a grid operator.</w:t>
      </w:r>
    </w:p>
    <w:p w14:paraId="452825E4" w14:textId="77777777" w:rsidR="00A468CF" w:rsidRPr="003D0E3E" w:rsidRDefault="00A468CF" w:rsidP="007A0C1A">
      <w:pPr>
        <w:rPr>
          <w:rFonts w:cstheme="minorHAnsi"/>
          <w:b/>
          <w:bCs/>
          <w:sz w:val="24"/>
          <w:szCs w:val="24"/>
          <w:lang w:val="en-US"/>
        </w:rPr>
      </w:pPr>
    </w:p>
    <w:p w14:paraId="6E8F8392" w14:textId="147F20C1" w:rsidR="002A50A3" w:rsidRDefault="00FC3A01" w:rsidP="00741588">
      <w:pPr>
        <w:pStyle w:val="Lijstalinea"/>
        <w:numPr>
          <w:ilvl w:val="0"/>
          <w:numId w:val="2"/>
        </w:numPr>
        <w:rPr>
          <w:rFonts w:cstheme="minorHAnsi"/>
          <w:b/>
          <w:bCs/>
          <w:sz w:val="24"/>
          <w:szCs w:val="24"/>
        </w:rPr>
      </w:pPr>
      <w:r>
        <w:rPr>
          <w:b/>
          <w:sz w:val="24"/>
        </w:rPr>
        <w:t xml:space="preserve">Could using dynamic profile fractions mean that suppliers have to validate differently every day? In other words, could a reading be invalid today but then be valid tomorrow with dynamic profile fractions? </w:t>
      </w:r>
    </w:p>
    <w:p w14:paraId="2AD70253" w14:textId="49254CD6" w:rsidR="00AD36EC" w:rsidRDefault="00A47D68" w:rsidP="00A47D68">
      <w:pPr>
        <w:rPr>
          <w:rFonts w:cstheme="minorHAnsi"/>
          <w:sz w:val="24"/>
          <w:szCs w:val="24"/>
        </w:rPr>
      </w:pPr>
      <w:r>
        <w:rPr>
          <w:sz w:val="24"/>
        </w:rPr>
        <w:t>This is possible in theory, but the chances are very remote. Consumption that needs to be validated will relate to a period of several days. At the moment of validation, dynamic profile fractions will not be known for maximum 1 or 2 days within the concerned period. Standard profile fractions will then be used for these 1 or 2 days. Using standard profile fractions for these 1 or 2 days will have minimal effect on the result of the validation.</w:t>
      </w:r>
    </w:p>
    <w:p w14:paraId="648137CC" w14:textId="633F61FE" w:rsidR="007B7126" w:rsidRPr="003D0E3E" w:rsidRDefault="007B7126" w:rsidP="00A47D68">
      <w:pPr>
        <w:rPr>
          <w:rFonts w:cstheme="minorHAnsi"/>
          <w:sz w:val="24"/>
          <w:szCs w:val="24"/>
          <w:lang w:val="en-US"/>
        </w:rPr>
      </w:pPr>
    </w:p>
    <w:p w14:paraId="12A2538D" w14:textId="202A43F3" w:rsidR="0088698A" w:rsidRPr="002F12B3" w:rsidRDefault="00625E09" w:rsidP="002F12B3">
      <w:pPr>
        <w:pStyle w:val="Lijstalinea"/>
        <w:numPr>
          <w:ilvl w:val="0"/>
          <w:numId w:val="2"/>
        </w:numPr>
        <w:rPr>
          <w:rFonts w:cstheme="minorHAnsi"/>
          <w:b/>
          <w:bCs/>
          <w:sz w:val="24"/>
          <w:szCs w:val="24"/>
        </w:rPr>
      </w:pPr>
      <w:r>
        <w:rPr>
          <w:b/>
          <w:sz w:val="24"/>
        </w:rPr>
        <w:t xml:space="preserve">Does the aggregated allocation data also not apply per supplier? </w:t>
      </w:r>
    </w:p>
    <w:p w14:paraId="4C3F0DEA" w14:textId="11A6DB2A" w:rsidR="0088698A" w:rsidRPr="005C3804" w:rsidRDefault="00FE7F08" w:rsidP="00CB6767">
      <w:pPr>
        <w:rPr>
          <w:rFonts w:cstheme="minorHAnsi"/>
          <w:sz w:val="24"/>
          <w:szCs w:val="24"/>
        </w:rPr>
      </w:pPr>
      <w:r>
        <w:rPr>
          <w:sz w:val="24"/>
        </w:rPr>
        <w:t>The BRP will receive the aggregated allocation results per BRP/</w:t>
      </w:r>
      <w:r w:rsidR="00C80D79">
        <w:rPr>
          <w:sz w:val="24"/>
        </w:rPr>
        <w:t>SUP</w:t>
      </w:r>
      <w:r>
        <w:rPr>
          <w:sz w:val="24"/>
        </w:rPr>
        <w:t xml:space="preserve"> combination. In contrast, TenneT will receive the allocation results per BRP because imbalance settlement takes place per BRP. </w:t>
      </w:r>
    </w:p>
    <w:p w14:paraId="492437BA" w14:textId="77777777" w:rsidR="001B3C87" w:rsidRPr="003D0E3E" w:rsidRDefault="001B3C87" w:rsidP="00CB6767">
      <w:pPr>
        <w:rPr>
          <w:rFonts w:cstheme="minorHAnsi"/>
          <w:b/>
          <w:bCs/>
          <w:sz w:val="24"/>
          <w:szCs w:val="24"/>
          <w:lang w:val="en-US"/>
        </w:rPr>
      </w:pPr>
    </w:p>
    <w:p w14:paraId="370ED5D4" w14:textId="3B3E6D60" w:rsidR="001B3C87" w:rsidRPr="00546A6E" w:rsidRDefault="005C3804" w:rsidP="00546A6E">
      <w:pPr>
        <w:pStyle w:val="Lijstalinea"/>
        <w:numPr>
          <w:ilvl w:val="0"/>
          <w:numId w:val="2"/>
        </w:numPr>
        <w:rPr>
          <w:rFonts w:cstheme="minorHAnsi"/>
          <w:b/>
          <w:bCs/>
          <w:sz w:val="24"/>
          <w:szCs w:val="24"/>
        </w:rPr>
      </w:pPr>
      <w:r>
        <w:rPr>
          <w:b/>
          <w:sz w:val="24"/>
        </w:rPr>
        <w:t>If dynamic fractions are available on D-1 and N-1, why do we not include them in the allocation?</w:t>
      </w:r>
    </w:p>
    <w:p w14:paraId="568FB780" w14:textId="1B4EFCD2" w:rsidR="00EF4907" w:rsidRDefault="00D164BF" w:rsidP="00CB6767">
      <w:pPr>
        <w:rPr>
          <w:rFonts w:cstheme="minorHAnsi"/>
          <w:sz w:val="24"/>
          <w:szCs w:val="24"/>
        </w:rPr>
      </w:pPr>
      <w:r>
        <w:rPr>
          <w:sz w:val="24"/>
        </w:rPr>
        <w:t xml:space="preserve">Because it has been agreed that participating suppliers must supply the aggregated data set for calculating profile fractions before </w:t>
      </w:r>
      <w:r w:rsidR="00C30C37">
        <w:rPr>
          <w:sz w:val="24"/>
        </w:rPr>
        <w:t>24</w:t>
      </w:r>
      <w:r>
        <w:rPr>
          <w:sz w:val="24"/>
        </w:rPr>
        <w:t>.00 midnight on D+1, dynamic profile fractions will not be determined on the first calendar day for the allocation. As a result, allocation on this day will, in fact, always be based on standard profile fractions.</w:t>
      </w:r>
    </w:p>
    <w:p w14:paraId="3A2FE4D7" w14:textId="77777777" w:rsidR="00BA085A" w:rsidRPr="003D0E3E" w:rsidRDefault="00BA085A" w:rsidP="00CB6767">
      <w:pPr>
        <w:rPr>
          <w:rFonts w:cstheme="minorHAnsi"/>
          <w:b/>
          <w:bCs/>
          <w:sz w:val="24"/>
          <w:szCs w:val="24"/>
          <w:lang w:val="en-US"/>
        </w:rPr>
      </w:pPr>
    </w:p>
    <w:p w14:paraId="5346381A" w14:textId="6110E113" w:rsidR="00BA085A" w:rsidRPr="005C3804" w:rsidRDefault="00C10C65" w:rsidP="005C3804">
      <w:pPr>
        <w:pStyle w:val="Lijstalinea"/>
        <w:numPr>
          <w:ilvl w:val="0"/>
          <w:numId w:val="2"/>
        </w:numPr>
        <w:rPr>
          <w:rFonts w:cstheme="minorHAnsi"/>
          <w:b/>
          <w:bCs/>
          <w:sz w:val="24"/>
          <w:szCs w:val="24"/>
        </w:rPr>
      </w:pPr>
      <w:r>
        <w:rPr>
          <w:b/>
          <w:sz w:val="24"/>
        </w:rPr>
        <w:t xml:space="preserve">Is allocation group </w:t>
      </w:r>
      <w:proofErr w:type="gramStart"/>
      <w:r>
        <w:rPr>
          <w:b/>
          <w:sz w:val="24"/>
        </w:rPr>
        <w:t>PRF(</w:t>
      </w:r>
      <w:proofErr w:type="gramEnd"/>
      <w:r>
        <w:rPr>
          <w:b/>
          <w:sz w:val="24"/>
        </w:rPr>
        <w:t xml:space="preserve">lev A) 1 message with several I/A series (per profile category)? </w:t>
      </w:r>
    </w:p>
    <w:p w14:paraId="6BD930B7" w14:textId="0E875298" w:rsidR="00F7513B" w:rsidRDefault="00E1670C" w:rsidP="00CB6767">
      <w:pPr>
        <w:rPr>
          <w:rFonts w:cstheme="minorHAnsi"/>
          <w:sz w:val="24"/>
          <w:szCs w:val="24"/>
        </w:rPr>
      </w:pPr>
      <w:r>
        <w:rPr>
          <w:sz w:val="24"/>
        </w:rPr>
        <w:t>Yes, a BRP will receive 1 PRF aggregation message per BRP/</w:t>
      </w:r>
      <w:r w:rsidR="00C80D79">
        <w:rPr>
          <w:sz w:val="24"/>
        </w:rPr>
        <w:t>SUP</w:t>
      </w:r>
      <w:r>
        <w:rPr>
          <w:sz w:val="24"/>
        </w:rPr>
        <w:t xml:space="preserve"> combination per grid area, which contains the allocation results from all profile-based allocation points relating to this BRP/</w:t>
      </w:r>
      <w:r w:rsidR="00C80D79">
        <w:rPr>
          <w:sz w:val="24"/>
        </w:rPr>
        <w:t>SUP</w:t>
      </w:r>
      <w:r>
        <w:rPr>
          <w:sz w:val="24"/>
        </w:rPr>
        <w:t xml:space="preserve"> combination. This message will contain allocation results per profile category (and determined </w:t>
      </w:r>
      <w:proofErr w:type="spellStart"/>
      <w:r>
        <w:rPr>
          <w:sz w:val="24"/>
        </w:rPr>
        <w:t>takeoff</w:t>
      </w:r>
      <w:proofErr w:type="spellEnd"/>
      <w:r>
        <w:rPr>
          <w:sz w:val="24"/>
        </w:rPr>
        <w:t xml:space="preserve"> type) where this BRP/</w:t>
      </w:r>
      <w:r w:rsidR="00C80D79">
        <w:rPr>
          <w:sz w:val="24"/>
        </w:rPr>
        <w:t>SUP</w:t>
      </w:r>
      <w:r>
        <w:rPr>
          <w:sz w:val="24"/>
        </w:rPr>
        <w:t xml:space="preserve"> combination is active.</w:t>
      </w:r>
    </w:p>
    <w:p w14:paraId="25C199B1" w14:textId="77777777" w:rsidR="00BA085A" w:rsidRPr="003D0E3E" w:rsidRDefault="00BA085A" w:rsidP="00CB6767">
      <w:pPr>
        <w:rPr>
          <w:rFonts w:cstheme="minorHAnsi"/>
          <w:b/>
          <w:bCs/>
          <w:sz w:val="24"/>
          <w:szCs w:val="24"/>
          <w:lang w:val="en-US"/>
        </w:rPr>
      </w:pPr>
    </w:p>
    <w:p w14:paraId="4ACEB2B3" w14:textId="2C552A16" w:rsidR="00CF2935" w:rsidRPr="00CA2477" w:rsidRDefault="00CA2477" w:rsidP="00CA2477">
      <w:pPr>
        <w:pStyle w:val="Lijstalinea"/>
        <w:numPr>
          <w:ilvl w:val="0"/>
          <w:numId w:val="2"/>
        </w:numPr>
        <w:rPr>
          <w:rFonts w:cstheme="minorHAnsi"/>
          <w:b/>
          <w:bCs/>
          <w:sz w:val="24"/>
          <w:szCs w:val="24"/>
        </w:rPr>
      </w:pPr>
      <w:r>
        <w:rPr>
          <w:b/>
          <w:sz w:val="24"/>
        </w:rPr>
        <w:t xml:space="preserve">Will the </w:t>
      </w:r>
      <w:proofErr w:type="spellStart"/>
      <w:r>
        <w:rPr>
          <w:b/>
          <w:sz w:val="24"/>
        </w:rPr>
        <w:t>CorrelationID</w:t>
      </w:r>
      <w:proofErr w:type="spellEnd"/>
      <w:r>
        <w:rPr>
          <w:b/>
          <w:sz w:val="24"/>
        </w:rPr>
        <w:t xml:space="preserve"> not be mandatory in the SOAP Body?</w:t>
      </w:r>
    </w:p>
    <w:p w14:paraId="76AA689F" w14:textId="7C3AAAD9" w:rsidR="00CF2935" w:rsidRPr="000748E6" w:rsidRDefault="00CF2935" w:rsidP="00CB6767">
      <w:pPr>
        <w:rPr>
          <w:rFonts w:cstheme="minorHAnsi"/>
          <w:sz w:val="24"/>
          <w:szCs w:val="24"/>
        </w:rPr>
      </w:pPr>
      <w:r>
        <w:rPr>
          <w:sz w:val="24"/>
        </w:rPr>
        <w:lastRenderedPageBreak/>
        <w:t xml:space="preserve">No, the </w:t>
      </w:r>
      <w:proofErr w:type="spellStart"/>
      <w:r>
        <w:rPr>
          <w:sz w:val="24"/>
        </w:rPr>
        <w:t>CorrelationID</w:t>
      </w:r>
      <w:proofErr w:type="spellEnd"/>
      <w:r>
        <w:rPr>
          <w:sz w:val="24"/>
        </w:rPr>
        <w:t xml:space="preserve"> will not be mandatory, but if a market party wants to fill it in, then it must be the same as the </w:t>
      </w:r>
      <w:proofErr w:type="spellStart"/>
      <w:r>
        <w:rPr>
          <w:sz w:val="24"/>
        </w:rPr>
        <w:t>CorrelationID</w:t>
      </w:r>
      <w:proofErr w:type="spellEnd"/>
      <w:r>
        <w:rPr>
          <w:sz w:val="24"/>
        </w:rPr>
        <w:t xml:space="preserve"> in the SOAP header. An error code will be introduced, which the recipient can use to reject a message that contains different </w:t>
      </w:r>
      <w:proofErr w:type="spellStart"/>
      <w:r>
        <w:rPr>
          <w:sz w:val="24"/>
        </w:rPr>
        <w:t>CorrelationID’s</w:t>
      </w:r>
      <w:proofErr w:type="spellEnd"/>
      <w:r>
        <w:rPr>
          <w:sz w:val="24"/>
        </w:rPr>
        <w:t>.</w:t>
      </w:r>
    </w:p>
    <w:p w14:paraId="41C7E287" w14:textId="77777777" w:rsidR="00CF2935" w:rsidRPr="003D0E3E" w:rsidRDefault="00CF2935" w:rsidP="00CB6767">
      <w:pPr>
        <w:rPr>
          <w:rFonts w:cstheme="minorHAnsi"/>
          <w:b/>
          <w:bCs/>
          <w:sz w:val="24"/>
          <w:szCs w:val="24"/>
          <w:lang w:val="en-US"/>
        </w:rPr>
      </w:pPr>
    </w:p>
    <w:p w14:paraId="0848F244" w14:textId="02EDB508" w:rsidR="00BA085A" w:rsidRPr="00EB21A7" w:rsidRDefault="003D416D" w:rsidP="00EB21A7">
      <w:pPr>
        <w:pStyle w:val="Lijstalinea"/>
        <w:numPr>
          <w:ilvl w:val="0"/>
          <w:numId w:val="2"/>
        </w:numPr>
        <w:rPr>
          <w:rFonts w:cstheme="minorHAnsi"/>
          <w:b/>
          <w:bCs/>
          <w:sz w:val="24"/>
          <w:szCs w:val="24"/>
        </w:rPr>
      </w:pPr>
      <w:r>
        <w:rPr>
          <w:b/>
          <w:sz w:val="24"/>
        </w:rPr>
        <w:t xml:space="preserve">Why is qualification once again taking place so far ahead of the GAT? </w:t>
      </w:r>
    </w:p>
    <w:p w14:paraId="585BB966" w14:textId="5017AA9A" w:rsidR="003D416D" w:rsidRPr="000A3A01" w:rsidRDefault="002A5C65" w:rsidP="00CB6767">
      <w:pPr>
        <w:rPr>
          <w:rFonts w:cstheme="minorHAnsi"/>
          <w:sz w:val="24"/>
          <w:szCs w:val="24"/>
        </w:rPr>
      </w:pPr>
      <w:r>
        <w:rPr>
          <w:sz w:val="24"/>
        </w:rPr>
        <w:t xml:space="preserve">The </w:t>
      </w:r>
      <w:r w:rsidR="00C30C37">
        <w:rPr>
          <w:sz w:val="24"/>
        </w:rPr>
        <w:t>DSO’s</w:t>
      </w:r>
      <w:r>
        <w:rPr>
          <w:sz w:val="24"/>
        </w:rPr>
        <w:t xml:space="preserve"> also need time to modify their systems and, because the NEDU GAT takes place in Q1, there is little time to perform qualification after the NEDU GAT, otherwise this will put pressure on the Go live. As a result, a decision has been made to adopt the same approach as Tranche 1. </w:t>
      </w:r>
    </w:p>
    <w:p w14:paraId="00009211" w14:textId="77777777" w:rsidR="00CF2935" w:rsidRPr="003D0E3E" w:rsidRDefault="00CF2935" w:rsidP="00CB6767">
      <w:pPr>
        <w:rPr>
          <w:rFonts w:cstheme="minorHAnsi"/>
          <w:b/>
          <w:bCs/>
          <w:sz w:val="24"/>
          <w:szCs w:val="24"/>
          <w:lang w:val="en-US"/>
        </w:rPr>
      </w:pPr>
    </w:p>
    <w:p w14:paraId="0ADC5926" w14:textId="778AB3BE" w:rsidR="00CF2935" w:rsidRPr="00330560" w:rsidRDefault="00E50EBB" w:rsidP="00330560">
      <w:pPr>
        <w:pStyle w:val="Lijstalinea"/>
        <w:numPr>
          <w:ilvl w:val="0"/>
          <w:numId w:val="2"/>
        </w:numPr>
        <w:rPr>
          <w:rFonts w:cstheme="minorHAnsi"/>
          <w:b/>
          <w:bCs/>
          <w:sz w:val="24"/>
          <w:szCs w:val="24"/>
        </w:rPr>
      </w:pPr>
      <w:r>
        <w:rPr>
          <w:b/>
          <w:sz w:val="24"/>
        </w:rPr>
        <w:t>The Master Test Plan (MTP) does not mention that the GAT involves voluntary testing. Why is this not mandatory?</w:t>
      </w:r>
    </w:p>
    <w:p w14:paraId="4A07B079" w14:textId="36F8BF85" w:rsidR="00CF2935" w:rsidRDefault="00403AAF" w:rsidP="00CB6767">
      <w:pPr>
        <w:rPr>
          <w:sz w:val="24"/>
        </w:rPr>
      </w:pPr>
      <w:r>
        <w:rPr>
          <w:sz w:val="24"/>
        </w:rPr>
        <w:t xml:space="preserve">A detailed GAT test plan will follow, which contains the scope and objective. It will also mention whether the tests are mandatory or voluntary. Experience from Tranche 1 shows that they will not be entirely voluntary, but more will be revealed about this at a later time. </w:t>
      </w:r>
    </w:p>
    <w:p w14:paraId="7FD82888" w14:textId="77777777" w:rsidR="00C30C37" w:rsidRPr="00330560" w:rsidRDefault="00C30C37" w:rsidP="00CB6767">
      <w:pPr>
        <w:rPr>
          <w:rFonts w:cstheme="minorHAnsi"/>
          <w:sz w:val="24"/>
          <w:szCs w:val="24"/>
        </w:rPr>
      </w:pPr>
    </w:p>
    <w:p w14:paraId="786C14DF" w14:textId="6BBE90E5" w:rsidR="0088698A" w:rsidRPr="00C805BE" w:rsidRDefault="009840FD" w:rsidP="00C805BE">
      <w:pPr>
        <w:pStyle w:val="Lijstalinea"/>
        <w:numPr>
          <w:ilvl w:val="0"/>
          <w:numId w:val="2"/>
        </w:numPr>
        <w:rPr>
          <w:rFonts w:cstheme="minorHAnsi"/>
          <w:b/>
          <w:bCs/>
          <w:sz w:val="24"/>
          <w:szCs w:val="24"/>
        </w:rPr>
      </w:pPr>
      <w:r>
        <w:rPr>
          <w:b/>
          <w:sz w:val="24"/>
        </w:rPr>
        <w:t>Which parts of the issues are compulsory to qualify per market role, and which are optional?</w:t>
      </w:r>
    </w:p>
    <w:p w14:paraId="4B8866EE" w14:textId="5F8877BB" w:rsidR="00B97544" w:rsidRDefault="00545E6B" w:rsidP="00CB6767">
      <w:pPr>
        <w:rPr>
          <w:rFonts w:cstheme="minorHAnsi"/>
          <w:sz w:val="24"/>
          <w:szCs w:val="24"/>
        </w:rPr>
      </w:pPr>
      <w:r>
        <w:rPr>
          <w:sz w:val="24"/>
        </w:rPr>
        <w:t xml:space="preserve">This has been explained in the qualification plan. </w:t>
      </w:r>
    </w:p>
    <w:p w14:paraId="2949433B" w14:textId="77777777" w:rsidR="00DD0B37" w:rsidRPr="003D0E3E" w:rsidRDefault="00DD0B37" w:rsidP="00CB6767">
      <w:pPr>
        <w:rPr>
          <w:rFonts w:cstheme="minorHAnsi"/>
          <w:sz w:val="24"/>
          <w:szCs w:val="24"/>
          <w:lang w:val="en-US"/>
        </w:rPr>
      </w:pPr>
    </w:p>
    <w:p w14:paraId="26BE553B" w14:textId="2F15E509" w:rsidR="00545E6B" w:rsidRPr="00B97544" w:rsidRDefault="00B97544" w:rsidP="00B97544">
      <w:pPr>
        <w:pStyle w:val="Lijstalinea"/>
        <w:numPr>
          <w:ilvl w:val="0"/>
          <w:numId w:val="2"/>
        </w:numPr>
        <w:rPr>
          <w:rFonts w:cstheme="minorHAnsi"/>
          <w:b/>
          <w:bCs/>
          <w:sz w:val="24"/>
          <w:szCs w:val="24"/>
        </w:rPr>
      </w:pPr>
      <w:r>
        <w:rPr>
          <w:b/>
          <w:sz w:val="24"/>
        </w:rPr>
        <w:t xml:space="preserve">Will all </w:t>
      </w:r>
      <w:proofErr w:type="spellStart"/>
      <w:r>
        <w:rPr>
          <w:b/>
          <w:sz w:val="24"/>
        </w:rPr>
        <w:t>Edine</w:t>
      </w:r>
      <w:proofErr w:type="spellEnd"/>
      <w:r>
        <w:rPr>
          <w:b/>
          <w:sz w:val="24"/>
        </w:rPr>
        <w:t xml:space="preserve"> MSCONS disappear with the CPS mailbox, after Go Live A2.0 Tranche 2? And at which moment? A big bang?</w:t>
      </w:r>
    </w:p>
    <w:p w14:paraId="703E1A29" w14:textId="2CD04923" w:rsidR="006F0722" w:rsidRPr="00DD0B37" w:rsidRDefault="00302C56" w:rsidP="007A0C1A">
      <w:pPr>
        <w:rPr>
          <w:rFonts w:cstheme="minorHAnsi"/>
          <w:sz w:val="24"/>
          <w:szCs w:val="24"/>
        </w:rPr>
      </w:pPr>
      <w:r>
        <w:rPr>
          <w:sz w:val="24"/>
        </w:rPr>
        <w:t xml:space="preserve">The sector will be using the new method as of 1 April 2023, and all allocation messages (that relate to a date as of 1 April 2023) will be exchanged using an XML message via the MMC </w:t>
      </w:r>
      <w:r w:rsidR="003E38B0">
        <w:rPr>
          <w:sz w:val="24"/>
        </w:rPr>
        <w:t>H</w:t>
      </w:r>
      <w:r>
        <w:rPr>
          <w:sz w:val="24"/>
        </w:rPr>
        <w:t xml:space="preserve">ub. All messages that relate to a date before 1 April 2023 will continue to be exchanged in </w:t>
      </w:r>
      <w:proofErr w:type="spellStart"/>
      <w:r>
        <w:rPr>
          <w:sz w:val="24"/>
        </w:rPr>
        <w:t>E</w:t>
      </w:r>
      <w:r w:rsidR="003E38B0">
        <w:rPr>
          <w:sz w:val="24"/>
        </w:rPr>
        <w:t>di</w:t>
      </w:r>
      <w:r>
        <w:rPr>
          <w:sz w:val="24"/>
        </w:rPr>
        <w:t>ne</w:t>
      </w:r>
      <w:proofErr w:type="spellEnd"/>
      <w:r>
        <w:rPr>
          <w:sz w:val="24"/>
        </w:rPr>
        <w:t xml:space="preserve"> format (MSCONS and E31) via CPS. The last allocation messages in </w:t>
      </w:r>
      <w:proofErr w:type="spellStart"/>
      <w:r>
        <w:rPr>
          <w:sz w:val="24"/>
        </w:rPr>
        <w:t>E</w:t>
      </w:r>
      <w:r w:rsidR="003E38B0">
        <w:rPr>
          <w:sz w:val="24"/>
        </w:rPr>
        <w:t>di</w:t>
      </w:r>
      <w:r>
        <w:rPr>
          <w:sz w:val="24"/>
        </w:rPr>
        <w:t>ne</w:t>
      </w:r>
      <w:proofErr w:type="spellEnd"/>
      <w:r>
        <w:rPr>
          <w:sz w:val="24"/>
        </w:rPr>
        <w:t xml:space="preserve"> format will thus be sent on the 10</w:t>
      </w:r>
      <w:r>
        <w:rPr>
          <w:sz w:val="24"/>
          <w:vertAlign w:val="superscript"/>
        </w:rPr>
        <w:t>th</w:t>
      </w:r>
      <w:r>
        <w:rPr>
          <w:sz w:val="24"/>
        </w:rPr>
        <w:t xml:space="preserve"> working day after 31 march 2023 (definitive allocation concerning 31-3-2023). </w:t>
      </w:r>
    </w:p>
    <w:p w14:paraId="2929EF29" w14:textId="77777777" w:rsidR="00367DC3" w:rsidRPr="003D0E3E" w:rsidRDefault="00367DC3" w:rsidP="007A0C1A">
      <w:pPr>
        <w:rPr>
          <w:b/>
          <w:bCs/>
          <w:sz w:val="28"/>
          <w:szCs w:val="28"/>
          <w:lang w:val="en-US"/>
        </w:rPr>
      </w:pPr>
    </w:p>
    <w:p w14:paraId="5A24DA13" w14:textId="77777777" w:rsidR="007A0C1A" w:rsidRPr="003D0E3E" w:rsidRDefault="007A0C1A" w:rsidP="007A0C1A">
      <w:pPr>
        <w:rPr>
          <w:b/>
          <w:bCs/>
          <w:sz w:val="28"/>
          <w:szCs w:val="28"/>
          <w:lang w:val="en-US"/>
        </w:rPr>
      </w:pPr>
    </w:p>
    <w:p w14:paraId="6123F274" w14:textId="77777777" w:rsidR="006E0AB3" w:rsidRPr="003D0E3E" w:rsidRDefault="006E0AB3">
      <w:pPr>
        <w:rPr>
          <w:b/>
          <w:bCs/>
          <w:sz w:val="28"/>
          <w:szCs w:val="28"/>
          <w:lang w:val="en-US"/>
        </w:rPr>
      </w:pPr>
    </w:p>
    <w:p w14:paraId="5267D69A" w14:textId="77777777" w:rsidR="006E0AB3" w:rsidRPr="003D0E3E" w:rsidRDefault="006E0AB3">
      <w:pPr>
        <w:rPr>
          <w:b/>
          <w:bCs/>
          <w:sz w:val="28"/>
          <w:szCs w:val="28"/>
          <w:lang w:val="en-US"/>
        </w:rPr>
      </w:pPr>
    </w:p>
    <w:sectPr w:rsidR="006E0AB3" w:rsidRPr="003D0E3E" w:rsidSect="00D24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D3E"/>
    <w:multiLevelType w:val="hybridMultilevel"/>
    <w:tmpl w:val="086A0560"/>
    <w:lvl w:ilvl="0" w:tplc="C4489BD6">
      <w:numFmt w:val="bullet"/>
      <w:lvlText w:val="-"/>
      <w:lvlJc w:val="left"/>
      <w:pPr>
        <w:ind w:left="720" w:hanging="360"/>
      </w:pPr>
      <w:rPr>
        <w:rFonts w:ascii="Segoe UI" w:eastAsiaTheme="minorHAnsi" w:hAnsi="Segoe UI" w:cs="Segoe UI" w:hint="default"/>
        <w:b w:val="0"/>
        <w:color w:val="FFFFFF"/>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04C2B"/>
    <w:multiLevelType w:val="hybridMultilevel"/>
    <w:tmpl w:val="9D0EA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3547806">
    <w:abstractNumId w:val="0"/>
  </w:num>
  <w:num w:numId="2" w16cid:durableId="1810584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D6"/>
    <w:rsid w:val="000322FF"/>
    <w:rsid w:val="00033921"/>
    <w:rsid w:val="000347E1"/>
    <w:rsid w:val="00050C03"/>
    <w:rsid w:val="00056F45"/>
    <w:rsid w:val="000748E6"/>
    <w:rsid w:val="000901C6"/>
    <w:rsid w:val="00094C20"/>
    <w:rsid w:val="00097F5E"/>
    <w:rsid w:val="000A3A01"/>
    <w:rsid w:val="000A4FF0"/>
    <w:rsid w:val="000C4A92"/>
    <w:rsid w:val="00110393"/>
    <w:rsid w:val="00112FAD"/>
    <w:rsid w:val="00140C97"/>
    <w:rsid w:val="00151EB0"/>
    <w:rsid w:val="001629C6"/>
    <w:rsid w:val="00165EDD"/>
    <w:rsid w:val="001714D6"/>
    <w:rsid w:val="001728C6"/>
    <w:rsid w:val="0017665E"/>
    <w:rsid w:val="001A7246"/>
    <w:rsid w:val="001B34C7"/>
    <w:rsid w:val="001B3C87"/>
    <w:rsid w:val="001B656B"/>
    <w:rsid w:val="001C11F1"/>
    <w:rsid w:val="001D6504"/>
    <w:rsid w:val="001D705B"/>
    <w:rsid w:val="0022509D"/>
    <w:rsid w:val="00230C26"/>
    <w:rsid w:val="00231A1A"/>
    <w:rsid w:val="00233436"/>
    <w:rsid w:val="0023494B"/>
    <w:rsid w:val="00237055"/>
    <w:rsid w:val="00240E5C"/>
    <w:rsid w:val="0027590C"/>
    <w:rsid w:val="00291D6D"/>
    <w:rsid w:val="002A1975"/>
    <w:rsid w:val="002A50A3"/>
    <w:rsid w:val="002A5C65"/>
    <w:rsid w:val="002B2BD8"/>
    <w:rsid w:val="002F12B3"/>
    <w:rsid w:val="002F5144"/>
    <w:rsid w:val="00302C56"/>
    <w:rsid w:val="0030627C"/>
    <w:rsid w:val="00307C2D"/>
    <w:rsid w:val="00310F8E"/>
    <w:rsid w:val="00315F9C"/>
    <w:rsid w:val="0031669E"/>
    <w:rsid w:val="00330560"/>
    <w:rsid w:val="00330E25"/>
    <w:rsid w:val="00367DC3"/>
    <w:rsid w:val="003731A8"/>
    <w:rsid w:val="00393B7F"/>
    <w:rsid w:val="003962BB"/>
    <w:rsid w:val="003A1307"/>
    <w:rsid w:val="003C58E5"/>
    <w:rsid w:val="003D0E3E"/>
    <w:rsid w:val="003D394D"/>
    <w:rsid w:val="003D416D"/>
    <w:rsid w:val="003D45FD"/>
    <w:rsid w:val="003E38B0"/>
    <w:rsid w:val="003E5659"/>
    <w:rsid w:val="003F3311"/>
    <w:rsid w:val="00403AAF"/>
    <w:rsid w:val="00410417"/>
    <w:rsid w:val="00427B10"/>
    <w:rsid w:val="004509D9"/>
    <w:rsid w:val="004636D6"/>
    <w:rsid w:val="00470CD1"/>
    <w:rsid w:val="004B568A"/>
    <w:rsid w:val="004B5D62"/>
    <w:rsid w:val="004D5069"/>
    <w:rsid w:val="004E1B21"/>
    <w:rsid w:val="004F76CC"/>
    <w:rsid w:val="00502C9D"/>
    <w:rsid w:val="005260D8"/>
    <w:rsid w:val="005271E6"/>
    <w:rsid w:val="005317F8"/>
    <w:rsid w:val="00531DF7"/>
    <w:rsid w:val="00545E6B"/>
    <w:rsid w:val="00546A6E"/>
    <w:rsid w:val="0057644D"/>
    <w:rsid w:val="00576F27"/>
    <w:rsid w:val="00591967"/>
    <w:rsid w:val="005931D6"/>
    <w:rsid w:val="005A03CF"/>
    <w:rsid w:val="005B4149"/>
    <w:rsid w:val="005C3804"/>
    <w:rsid w:val="005C737C"/>
    <w:rsid w:val="005D322A"/>
    <w:rsid w:val="005E278A"/>
    <w:rsid w:val="00625E09"/>
    <w:rsid w:val="006500D9"/>
    <w:rsid w:val="00663392"/>
    <w:rsid w:val="0066751B"/>
    <w:rsid w:val="00680A71"/>
    <w:rsid w:val="00696F75"/>
    <w:rsid w:val="006A5010"/>
    <w:rsid w:val="006B2A42"/>
    <w:rsid w:val="006B78DC"/>
    <w:rsid w:val="006D0802"/>
    <w:rsid w:val="006E0AB3"/>
    <w:rsid w:val="006E39CF"/>
    <w:rsid w:val="006F0722"/>
    <w:rsid w:val="00701726"/>
    <w:rsid w:val="00701851"/>
    <w:rsid w:val="00704E92"/>
    <w:rsid w:val="00741588"/>
    <w:rsid w:val="0074718F"/>
    <w:rsid w:val="00764EDF"/>
    <w:rsid w:val="0077714A"/>
    <w:rsid w:val="0078369E"/>
    <w:rsid w:val="00784CC1"/>
    <w:rsid w:val="00792FDE"/>
    <w:rsid w:val="007A0C1A"/>
    <w:rsid w:val="007B7126"/>
    <w:rsid w:val="007B7F35"/>
    <w:rsid w:val="007F1429"/>
    <w:rsid w:val="007F7AA9"/>
    <w:rsid w:val="008074FD"/>
    <w:rsid w:val="00807842"/>
    <w:rsid w:val="00857A6A"/>
    <w:rsid w:val="00860CE1"/>
    <w:rsid w:val="00872324"/>
    <w:rsid w:val="00872D36"/>
    <w:rsid w:val="008759C1"/>
    <w:rsid w:val="0088698A"/>
    <w:rsid w:val="0089517D"/>
    <w:rsid w:val="008F2A5D"/>
    <w:rsid w:val="00905335"/>
    <w:rsid w:val="0095538B"/>
    <w:rsid w:val="00967A26"/>
    <w:rsid w:val="009840FD"/>
    <w:rsid w:val="009B0EDC"/>
    <w:rsid w:val="009B351A"/>
    <w:rsid w:val="009C39C2"/>
    <w:rsid w:val="009D65DD"/>
    <w:rsid w:val="009E0AEC"/>
    <w:rsid w:val="009F068B"/>
    <w:rsid w:val="009F1F54"/>
    <w:rsid w:val="009F3018"/>
    <w:rsid w:val="009F484E"/>
    <w:rsid w:val="009F5B1E"/>
    <w:rsid w:val="00A00A30"/>
    <w:rsid w:val="00A018DD"/>
    <w:rsid w:val="00A34593"/>
    <w:rsid w:val="00A4358C"/>
    <w:rsid w:val="00A461D5"/>
    <w:rsid w:val="00A468CF"/>
    <w:rsid w:val="00A47D68"/>
    <w:rsid w:val="00A77FAD"/>
    <w:rsid w:val="00A92475"/>
    <w:rsid w:val="00AA2D8F"/>
    <w:rsid w:val="00AB006D"/>
    <w:rsid w:val="00AD36EC"/>
    <w:rsid w:val="00AF3AC8"/>
    <w:rsid w:val="00B01B09"/>
    <w:rsid w:val="00B422E1"/>
    <w:rsid w:val="00B47992"/>
    <w:rsid w:val="00B5541F"/>
    <w:rsid w:val="00B60EF6"/>
    <w:rsid w:val="00B74D93"/>
    <w:rsid w:val="00B81DCF"/>
    <w:rsid w:val="00B914B4"/>
    <w:rsid w:val="00B97544"/>
    <w:rsid w:val="00BA085A"/>
    <w:rsid w:val="00BA5D99"/>
    <w:rsid w:val="00BB2DB2"/>
    <w:rsid w:val="00BB73BA"/>
    <w:rsid w:val="00BC1508"/>
    <w:rsid w:val="00BD012B"/>
    <w:rsid w:val="00BE39CA"/>
    <w:rsid w:val="00BE3B7D"/>
    <w:rsid w:val="00BF34BB"/>
    <w:rsid w:val="00BF406D"/>
    <w:rsid w:val="00BF7A70"/>
    <w:rsid w:val="00C048C6"/>
    <w:rsid w:val="00C10C65"/>
    <w:rsid w:val="00C16F65"/>
    <w:rsid w:val="00C30C37"/>
    <w:rsid w:val="00C36E9C"/>
    <w:rsid w:val="00C621F7"/>
    <w:rsid w:val="00C647BF"/>
    <w:rsid w:val="00C651D8"/>
    <w:rsid w:val="00C722DD"/>
    <w:rsid w:val="00C805BE"/>
    <w:rsid w:val="00C80D79"/>
    <w:rsid w:val="00C82C77"/>
    <w:rsid w:val="00CA2477"/>
    <w:rsid w:val="00CB6767"/>
    <w:rsid w:val="00CC1240"/>
    <w:rsid w:val="00CD5378"/>
    <w:rsid w:val="00CE0995"/>
    <w:rsid w:val="00CF2935"/>
    <w:rsid w:val="00CF5733"/>
    <w:rsid w:val="00CF7A35"/>
    <w:rsid w:val="00D164BF"/>
    <w:rsid w:val="00D24137"/>
    <w:rsid w:val="00D35047"/>
    <w:rsid w:val="00D409C9"/>
    <w:rsid w:val="00D43B72"/>
    <w:rsid w:val="00D8219B"/>
    <w:rsid w:val="00D840EC"/>
    <w:rsid w:val="00D93306"/>
    <w:rsid w:val="00D96A1D"/>
    <w:rsid w:val="00DB1143"/>
    <w:rsid w:val="00DD0B37"/>
    <w:rsid w:val="00DD77F7"/>
    <w:rsid w:val="00DE4C5A"/>
    <w:rsid w:val="00E0342D"/>
    <w:rsid w:val="00E1670C"/>
    <w:rsid w:val="00E240A7"/>
    <w:rsid w:val="00E269E6"/>
    <w:rsid w:val="00E50EBB"/>
    <w:rsid w:val="00E51149"/>
    <w:rsid w:val="00E63F07"/>
    <w:rsid w:val="00E82E07"/>
    <w:rsid w:val="00E861B1"/>
    <w:rsid w:val="00E9296C"/>
    <w:rsid w:val="00EB21A7"/>
    <w:rsid w:val="00EC2705"/>
    <w:rsid w:val="00EC5587"/>
    <w:rsid w:val="00EE704D"/>
    <w:rsid w:val="00EF27D8"/>
    <w:rsid w:val="00EF2CD0"/>
    <w:rsid w:val="00EF4907"/>
    <w:rsid w:val="00F158DD"/>
    <w:rsid w:val="00F1777A"/>
    <w:rsid w:val="00F21AF3"/>
    <w:rsid w:val="00F2294B"/>
    <w:rsid w:val="00F60F1A"/>
    <w:rsid w:val="00F676E8"/>
    <w:rsid w:val="00F7513B"/>
    <w:rsid w:val="00F90AA4"/>
    <w:rsid w:val="00F9639C"/>
    <w:rsid w:val="00FB0EBB"/>
    <w:rsid w:val="00FB7290"/>
    <w:rsid w:val="00FC3A01"/>
    <w:rsid w:val="00FC47A3"/>
    <w:rsid w:val="00FD4511"/>
    <w:rsid w:val="00FE7F08"/>
    <w:rsid w:val="00FF2D60"/>
    <w:rsid w:val="00FF63C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5013"/>
  <w15:chartTrackingRefBased/>
  <w15:docId w15:val="{2442B229-FDB7-452F-AA33-5C07C05C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04E92"/>
    <w:rPr>
      <w:color w:val="0563C1" w:themeColor="hyperlink"/>
      <w:u w:val="single"/>
    </w:rPr>
  </w:style>
  <w:style w:type="character" w:styleId="Onopgelostemelding">
    <w:name w:val="Unresolved Mention"/>
    <w:basedOn w:val="Standaardalinea-lettertype"/>
    <w:uiPriority w:val="99"/>
    <w:semiHidden/>
    <w:unhideWhenUsed/>
    <w:rsid w:val="00704E92"/>
    <w:rPr>
      <w:color w:val="605E5C"/>
      <w:shd w:val="clear" w:color="auto" w:fill="E1DFDD"/>
    </w:rPr>
  </w:style>
  <w:style w:type="paragraph" w:styleId="Lijstalinea">
    <w:name w:val="List Paragraph"/>
    <w:basedOn w:val="Standaard"/>
    <w:uiPriority w:val="34"/>
    <w:qFormat/>
    <w:rsid w:val="00696F75"/>
    <w:pPr>
      <w:ind w:left="720"/>
      <w:contextualSpacing/>
    </w:pPr>
  </w:style>
  <w:style w:type="paragraph" w:styleId="Normaalweb">
    <w:name w:val="Normal (Web)"/>
    <w:basedOn w:val="Standaard"/>
    <w:uiPriority w:val="99"/>
    <w:unhideWhenUsed/>
    <w:rsid w:val="00231A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text">
    <w:name w:val="ui-text"/>
    <w:basedOn w:val="Standaardalinea-lettertype"/>
    <w:rsid w:val="003C58E5"/>
  </w:style>
  <w:style w:type="character" w:styleId="GevolgdeHyperlink">
    <w:name w:val="FollowedHyperlink"/>
    <w:basedOn w:val="Standaardalinea-lettertype"/>
    <w:uiPriority w:val="99"/>
    <w:semiHidden/>
    <w:unhideWhenUsed/>
    <w:rsid w:val="004D5069"/>
    <w:rPr>
      <w:color w:val="954F72" w:themeColor="followedHyperlink"/>
      <w:u w:val="single"/>
    </w:rPr>
  </w:style>
  <w:style w:type="paragraph" w:styleId="Revisie">
    <w:name w:val="Revision"/>
    <w:hidden/>
    <w:uiPriority w:val="99"/>
    <w:semiHidden/>
    <w:rsid w:val="004B5D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496786">
      <w:bodyDiv w:val="1"/>
      <w:marLeft w:val="0"/>
      <w:marRight w:val="0"/>
      <w:marTop w:val="0"/>
      <w:marBottom w:val="0"/>
      <w:divBdr>
        <w:top w:val="none" w:sz="0" w:space="0" w:color="auto"/>
        <w:left w:val="none" w:sz="0" w:space="0" w:color="auto"/>
        <w:bottom w:val="none" w:sz="0" w:space="0" w:color="auto"/>
        <w:right w:val="none" w:sz="0" w:space="0" w:color="auto"/>
      </w:divBdr>
    </w:div>
    <w:div w:id="853765577">
      <w:bodyDiv w:val="1"/>
      <w:marLeft w:val="0"/>
      <w:marRight w:val="0"/>
      <w:marTop w:val="0"/>
      <w:marBottom w:val="0"/>
      <w:divBdr>
        <w:top w:val="none" w:sz="0" w:space="0" w:color="auto"/>
        <w:left w:val="none" w:sz="0" w:space="0" w:color="auto"/>
        <w:bottom w:val="none" w:sz="0" w:space="0" w:color="auto"/>
        <w:right w:val="none" w:sz="0" w:space="0" w:color="auto"/>
      </w:divBdr>
    </w:div>
    <w:div w:id="1253856649">
      <w:bodyDiv w:val="1"/>
      <w:marLeft w:val="0"/>
      <w:marRight w:val="0"/>
      <w:marTop w:val="0"/>
      <w:marBottom w:val="0"/>
      <w:divBdr>
        <w:top w:val="none" w:sz="0" w:space="0" w:color="auto"/>
        <w:left w:val="none" w:sz="0" w:space="0" w:color="auto"/>
        <w:bottom w:val="none" w:sz="0" w:space="0" w:color="auto"/>
        <w:right w:val="none" w:sz="0" w:space="0" w:color="auto"/>
      </w:divBdr>
    </w:div>
    <w:div w:id="1900045560">
      <w:bodyDiv w:val="1"/>
      <w:marLeft w:val="0"/>
      <w:marRight w:val="0"/>
      <w:marTop w:val="0"/>
      <w:marBottom w:val="0"/>
      <w:divBdr>
        <w:top w:val="none" w:sz="0" w:space="0" w:color="auto"/>
        <w:left w:val="none" w:sz="0" w:space="0" w:color="auto"/>
        <w:bottom w:val="none" w:sz="0" w:space="0" w:color="auto"/>
        <w:right w:val="none" w:sz="0" w:space="0" w:color="auto"/>
      </w:divBdr>
      <w:divsChild>
        <w:div w:id="1506942027">
          <w:marLeft w:val="0"/>
          <w:marRight w:val="0"/>
          <w:marTop w:val="0"/>
          <w:marBottom w:val="0"/>
          <w:divBdr>
            <w:top w:val="single" w:sz="24" w:space="0" w:color="1A1A1A"/>
            <w:left w:val="single" w:sz="24" w:space="0" w:color="1A1A1A"/>
            <w:bottom w:val="single" w:sz="24" w:space="0" w:color="1A1A1A"/>
            <w:right w:val="single" w:sz="24" w:space="0" w:color="1A1A1A"/>
          </w:divBdr>
          <w:divsChild>
            <w:div w:id="1241981993">
              <w:marLeft w:val="0"/>
              <w:marRight w:val="0"/>
              <w:marTop w:val="0"/>
              <w:marBottom w:val="0"/>
              <w:divBdr>
                <w:top w:val="none" w:sz="0" w:space="0" w:color="auto"/>
                <w:left w:val="none" w:sz="0" w:space="0" w:color="auto"/>
                <w:bottom w:val="none" w:sz="0" w:space="0" w:color="auto"/>
                <w:right w:val="none" w:sz="0" w:space="0" w:color="auto"/>
              </w:divBdr>
              <w:divsChild>
                <w:div w:id="1511942870">
                  <w:marLeft w:val="0"/>
                  <w:marRight w:val="0"/>
                  <w:marTop w:val="0"/>
                  <w:marBottom w:val="0"/>
                  <w:divBdr>
                    <w:top w:val="none" w:sz="0" w:space="0" w:color="auto"/>
                    <w:left w:val="none" w:sz="0" w:space="0" w:color="auto"/>
                    <w:bottom w:val="none" w:sz="0" w:space="0" w:color="auto"/>
                    <w:right w:val="none" w:sz="0" w:space="0" w:color="auto"/>
                  </w:divBdr>
                  <w:divsChild>
                    <w:div w:id="6405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fbas.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EFAAF-0F1B-4D95-87E2-FFAF3CF3DDB5}"/>
</file>

<file path=customXml/itemProps2.xml><?xml version="1.0" encoding="utf-8"?>
<ds:datastoreItem xmlns:ds="http://schemas.openxmlformats.org/officeDocument/2006/customXml" ds:itemID="{FCE6133D-B9A9-4F89-BB62-8AB066F343D2}">
  <ds:schemaRefs>
    <ds:schemaRef ds:uri="http://schemas.microsoft.com/office/2006/metadata/properties"/>
    <ds:schemaRef ds:uri="http://schemas.microsoft.com/office/infopath/2007/PartnerControls"/>
    <ds:schemaRef ds:uri="5f374908-5936-441c-a640-6ee52fa1ffbe"/>
  </ds:schemaRefs>
</ds:datastoreItem>
</file>

<file path=customXml/itemProps3.xml><?xml version="1.0" encoding="utf-8"?>
<ds:datastoreItem xmlns:ds="http://schemas.openxmlformats.org/officeDocument/2006/customXml" ds:itemID="{51ABC04C-7720-4F14-B2FF-5DA511FE6B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1515</Words>
  <Characters>8338</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Elbert Jochemsen</dc:creator>
  <cp:keywords/>
  <dc:description/>
  <cp:lastModifiedBy>Jacco Hogeweg</cp:lastModifiedBy>
  <cp:revision>9</cp:revision>
  <dcterms:created xsi:type="dcterms:W3CDTF">2022-04-19T13:57:00Z</dcterms:created>
  <dcterms:modified xsi:type="dcterms:W3CDTF">2022-04-19T14:39:00Z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Order">
    <vt:r8>97800</vt:r8>
  </property>
</Properties>
</file>